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08"/>
        <w:gridCol w:w="3209"/>
        <w:gridCol w:w="3306"/>
      </w:tblGrid>
      <w:tr w:rsidR="008E49CF" w:rsidRPr="00432640" w14:paraId="33F61174" w14:textId="77777777" w:rsidTr="00432640">
        <w:tc>
          <w:tcPr>
            <w:tcW w:w="3313" w:type="dxa"/>
            <w:shd w:val="clear" w:color="auto" w:fill="auto"/>
          </w:tcPr>
          <w:p w14:paraId="1A6A93CA" w14:textId="77777777" w:rsidR="008E49CF" w:rsidRPr="00432640" w:rsidRDefault="008E49CF" w:rsidP="00F339E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13" w:type="dxa"/>
            <w:shd w:val="clear" w:color="auto" w:fill="auto"/>
          </w:tcPr>
          <w:p w14:paraId="05B47ECF" w14:textId="77777777" w:rsidR="008E49CF" w:rsidRPr="00432640" w:rsidRDefault="008E49CF" w:rsidP="00F339E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13" w:type="dxa"/>
            <w:shd w:val="clear" w:color="auto" w:fill="auto"/>
          </w:tcPr>
          <w:p w14:paraId="7871772E" w14:textId="311B7AB6" w:rsidR="008E49CF" w:rsidRPr="00432640" w:rsidRDefault="00D3656F" w:rsidP="00F339EF">
            <w:pPr>
              <w:rPr>
                <w:rFonts w:ascii="Arial" w:hAnsi="Arial" w:cs="Arial"/>
                <w:sz w:val="28"/>
                <w:szCs w:val="28"/>
              </w:rPr>
            </w:pPr>
            <w:r w:rsidRPr="00432640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3EF0ADE4" wp14:editId="34CCD69B">
                  <wp:extent cx="1833245" cy="504825"/>
                  <wp:effectExtent l="0" t="0" r="0" b="0"/>
                  <wp:docPr id="6" name="Picture 3" descr="East Midlands Cancer Allianc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East Midlands Cancer Allianc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24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085ECB" w14:textId="77777777" w:rsidR="00F339EF" w:rsidRDefault="00F339EF" w:rsidP="00F339EF">
      <w:pPr>
        <w:rPr>
          <w:rFonts w:ascii="Arial" w:hAnsi="Arial" w:cs="Arial"/>
          <w:sz w:val="28"/>
          <w:szCs w:val="28"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816"/>
      </w:tblGrid>
      <w:tr w:rsidR="005109B6" w:rsidRPr="00432640" w14:paraId="48CD07D2" w14:textId="77777777" w:rsidTr="00432640">
        <w:trPr>
          <w:trHeight w:val="1288"/>
        </w:trPr>
        <w:tc>
          <w:tcPr>
            <w:tcW w:w="9752" w:type="dxa"/>
            <w:gridSpan w:val="2"/>
            <w:tcBorders>
              <w:top w:val="single" w:sz="4" w:space="0" w:color="auto"/>
            </w:tcBorders>
            <w:shd w:val="clear" w:color="auto" w:fill="4C94D8"/>
            <w:vAlign w:val="center"/>
          </w:tcPr>
          <w:p w14:paraId="16294872" w14:textId="77777777" w:rsidR="005109B6" w:rsidRPr="00D3656F" w:rsidRDefault="005109B6" w:rsidP="005109B6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1D1D1D"/>
              </w:rPr>
            </w:pPr>
            <w:r w:rsidRPr="00D3656F">
              <w:rPr>
                <w:rFonts w:ascii="Arial" w:hAnsi="Arial" w:cs="Arial"/>
                <w:b/>
                <w:bCs/>
                <w:color w:val="1D1D1D"/>
              </w:rPr>
              <w:t xml:space="preserve">GUIDELINE FOR BISPHOSPHONATE PROPHYLAXIS OF OSTEOPOROTIC FRACTURES IN </w:t>
            </w:r>
            <w:r w:rsidR="00F829FC" w:rsidRPr="00D3656F">
              <w:rPr>
                <w:rFonts w:ascii="Arial" w:hAnsi="Arial" w:cs="Arial"/>
                <w:b/>
                <w:bCs/>
                <w:color w:val="1D1D1D"/>
              </w:rPr>
              <w:t xml:space="preserve">ADULT </w:t>
            </w:r>
            <w:r w:rsidRPr="00D3656F">
              <w:rPr>
                <w:rFonts w:ascii="Arial" w:hAnsi="Arial" w:cs="Arial"/>
                <w:b/>
                <w:bCs/>
                <w:color w:val="1D1D1D"/>
              </w:rPr>
              <w:t>LYMPHOMA PATIENTS</w:t>
            </w:r>
          </w:p>
        </w:tc>
      </w:tr>
      <w:tr w:rsidR="006B4452" w:rsidRPr="003A6A77" w14:paraId="1A0C5A76" w14:textId="77777777" w:rsidTr="006D7FD4">
        <w:trPr>
          <w:trHeight w:val="384"/>
        </w:trPr>
        <w:tc>
          <w:tcPr>
            <w:tcW w:w="3936" w:type="dxa"/>
            <w:vAlign w:val="center"/>
          </w:tcPr>
          <w:p w14:paraId="7CB1DBED" w14:textId="77777777" w:rsidR="006B4452" w:rsidRPr="00B10589" w:rsidRDefault="006B4452" w:rsidP="006D7FD4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8"/>
              </w:rPr>
            </w:pPr>
            <w:r w:rsidRPr="00B10589">
              <w:rPr>
                <w:rFonts w:ascii="Arial" w:hAnsi="Arial" w:cs="Arial"/>
                <w:b/>
                <w:sz w:val="22"/>
                <w:szCs w:val="28"/>
              </w:rPr>
              <w:t xml:space="preserve">Author </w:t>
            </w:r>
            <w:r w:rsidRPr="00B10589">
              <w:rPr>
                <w:rFonts w:ascii="Arial" w:hAnsi="Arial" w:cs="Arial"/>
                <w:b/>
                <w:i/>
                <w:sz w:val="18"/>
                <w:szCs w:val="28"/>
              </w:rPr>
              <w:t>(include email and role):</w:t>
            </w:r>
          </w:p>
        </w:tc>
        <w:tc>
          <w:tcPr>
            <w:tcW w:w="5816" w:type="dxa"/>
          </w:tcPr>
          <w:p w14:paraId="4E4F0EBB" w14:textId="77777777" w:rsidR="006B4452" w:rsidRDefault="006B4452" w:rsidP="001C14D9">
            <w:pPr>
              <w:contextualSpacing/>
              <w:rPr>
                <w:rFonts w:ascii="Arial" w:hAnsi="Arial" w:cs="Arial"/>
                <w:sz w:val="22"/>
                <w:szCs w:val="28"/>
              </w:rPr>
            </w:pPr>
            <w:r>
              <w:rPr>
                <w:rFonts w:ascii="Arial" w:hAnsi="Arial" w:cs="Arial"/>
                <w:sz w:val="22"/>
                <w:szCs w:val="28"/>
              </w:rPr>
              <w:t>Dr. Mark Bishton</w:t>
            </w:r>
            <w:r w:rsidR="00595D21">
              <w:rPr>
                <w:rFonts w:ascii="Arial" w:hAnsi="Arial" w:cs="Arial"/>
                <w:sz w:val="22"/>
                <w:szCs w:val="28"/>
              </w:rPr>
              <w:t xml:space="preserve">, </w:t>
            </w:r>
            <w:r>
              <w:rPr>
                <w:rFonts w:ascii="Arial" w:hAnsi="Arial" w:cs="Arial"/>
                <w:sz w:val="22"/>
                <w:szCs w:val="28"/>
              </w:rPr>
              <w:t xml:space="preserve">Honorary </w:t>
            </w:r>
            <w:r w:rsidRPr="006B4452">
              <w:rPr>
                <w:rFonts w:ascii="Arial" w:hAnsi="Arial" w:cs="Arial"/>
                <w:sz w:val="22"/>
                <w:szCs w:val="28"/>
              </w:rPr>
              <w:t>Consultant Haematologist</w:t>
            </w:r>
            <w:r w:rsidR="008E49CF">
              <w:rPr>
                <w:rFonts w:ascii="Arial" w:hAnsi="Arial" w:cs="Arial"/>
                <w:sz w:val="22"/>
                <w:szCs w:val="28"/>
              </w:rPr>
              <w:t>, Nottingham University Hospitals</w:t>
            </w:r>
          </w:p>
          <w:p w14:paraId="49F4EAAF" w14:textId="77777777" w:rsidR="001C14D9" w:rsidRPr="001C14D9" w:rsidRDefault="001C14D9" w:rsidP="001C14D9">
            <w:pPr>
              <w:contextualSpacing/>
              <w:rPr>
                <w:rFonts w:ascii="Arial" w:hAnsi="Arial" w:cs="Arial"/>
                <w:sz w:val="12"/>
                <w:szCs w:val="12"/>
              </w:rPr>
            </w:pPr>
          </w:p>
          <w:p w14:paraId="53DC11BE" w14:textId="77777777" w:rsidR="008E49CF" w:rsidRDefault="008E49CF" w:rsidP="001C14D9">
            <w:pPr>
              <w:contextualSpacing/>
              <w:rPr>
                <w:rFonts w:ascii="Arial" w:hAnsi="Arial" w:cs="Arial"/>
                <w:sz w:val="22"/>
                <w:szCs w:val="28"/>
              </w:rPr>
            </w:pPr>
            <w:hyperlink r:id="rId9" w:history="1">
              <w:r w:rsidRPr="005D1826">
                <w:rPr>
                  <w:rStyle w:val="Hyperlink"/>
                  <w:rFonts w:ascii="Arial" w:hAnsi="Arial"/>
                  <w:sz w:val="22"/>
                  <w:szCs w:val="28"/>
                </w:rPr>
                <w:t>markbishton@nhs.net</w:t>
              </w:r>
            </w:hyperlink>
          </w:p>
          <w:p w14:paraId="3CA17B84" w14:textId="77777777" w:rsidR="001C14D9" w:rsidRPr="001C14D9" w:rsidRDefault="001C14D9" w:rsidP="001C14D9">
            <w:pPr>
              <w:contextualSpacing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B4452" w:rsidRPr="003A6A77" w14:paraId="3C4ED1B9" w14:textId="77777777" w:rsidTr="006D7FD4">
        <w:trPr>
          <w:trHeight w:val="370"/>
        </w:trPr>
        <w:tc>
          <w:tcPr>
            <w:tcW w:w="3936" w:type="dxa"/>
            <w:vAlign w:val="center"/>
          </w:tcPr>
          <w:p w14:paraId="66F71CBC" w14:textId="77777777" w:rsidR="006B4452" w:rsidRPr="00B10589" w:rsidRDefault="006B4452" w:rsidP="006D7FD4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8"/>
              </w:rPr>
            </w:pPr>
            <w:r>
              <w:rPr>
                <w:rFonts w:ascii="Arial" w:hAnsi="Arial" w:cs="Arial"/>
                <w:b/>
                <w:sz w:val="22"/>
                <w:szCs w:val="28"/>
              </w:rPr>
              <w:t>Version:</w:t>
            </w:r>
          </w:p>
        </w:tc>
        <w:tc>
          <w:tcPr>
            <w:tcW w:w="5816" w:type="dxa"/>
          </w:tcPr>
          <w:p w14:paraId="31163728" w14:textId="77777777" w:rsidR="006B4452" w:rsidRPr="00B10589" w:rsidRDefault="005A6939" w:rsidP="001C14D9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8"/>
              </w:rPr>
            </w:pPr>
            <w:r>
              <w:rPr>
                <w:rFonts w:ascii="Arial" w:hAnsi="Arial" w:cs="Arial"/>
                <w:sz w:val="22"/>
                <w:szCs w:val="28"/>
              </w:rPr>
              <w:t>Draftv</w:t>
            </w:r>
            <w:r w:rsidR="006B4452">
              <w:rPr>
                <w:rFonts w:ascii="Arial" w:hAnsi="Arial" w:cs="Arial"/>
                <w:sz w:val="22"/>
                <w:szCs w:val="28"/>
              </w:rPr>
              <w:t>1.</w:t>
            </w:r>
            <w:r w:rsidR="00F829FC">
              <w:rPr>
                <w:rFonts w:ascii="Arial" w:hAnsi="Arial" w:cs="Arial"/>
                <w:sz w:val="22"/>
                <w:szCs w:val="28"/>
              </w:rPr>
              <w:t>2</w:t>
            </w:r>
          </w:p>
        </w:tc>
      </w:tr>
      <w:tr w:rsidR="006B4452" w:rsidRPr="003A6A77" w14:paraId="7B97AFFE" w14:textId="77777777" w:rsidTr="006D7FD4">
        <w:trPr>
          <w:trHeight w:val="370"/>
        </w:trPr>
        <w:tc>
          <w:tcPr>
            <w:tcW w:w="3936" w:type="dxa"/>
            <w:vAlign w:val="center"/>
          </w:tcPr>
          <w:p w14:paraId="36D07808" w14:textId="77777777" w:rsidR="006B4452" w:rsidRPr="00B10589" w:rsidRDefault="006B4452" w:rsidP="006D7FD4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8"/>
              </w:rPr>
            </w:pPr>
            <w:r>
              <w:rPr>
                <w:rFonts w:ascii="Arial" w:hAnsi="Arial" w:cs="Arial"/>
                <w:b/>
                <w:sz w:val="22"/>
                <w:szCs w:val="28"/>
              </w:rPr>
              <w:t>Ratified by</w:t>
            </w:r>
            <w:r w:rsidR="001C14D9">
              <w:rPr>
                <w:rFonts w:ascii="Arial" w:hAnsi="Arial" w:cs="Arial"/>
                <w:b/>
                <w:sz w:val="22"/>
                <w:szCs w:val="28"/>
              </w:rPr>
              <w:t xml:space="preserve"> &amp; Date</w:t>
            </w:r>
            <w:r>
              <w:rPr>
                <w:rFonts w:ascii="Arial" w:hAnsi="Arial" w:cs="Arial"/>
                <w:b/>
                <w:sz w:val="22"/>
                <w:szCs w:val="28"/>
              </w:rPr>
              <w:t>:</w:t>
            </w:r>
          </w:p>
        </w:tc>
        <w:tc>
          <w:tcPr>
            <w:tcW w:w="5816" w:type="dxa"/>
          </w:tcPr>
          <w:p w14:paraId="76998BDE" w14:textId="77777777" w:rsidR="008E49CF" w:rsidRPr="00036E6D" w:rsidRDefault="008E49CF" w:rsidP="008E49CF">
            <w:pPr>
              <w:spacing w:before="100" w:beforeAutospacing="1" w:after="100" w:afterAutospacing="1"/>
              <w:contextualSpacing/>
              <w:rPr>
                <w:rFonts w:ascii="Arial" w:hAnsi="Arial" w:cs="Arial"/>
                <w:sz w:val="22"/>
                <w:szCs w:val="28"/>
              </w:rPr>
            </w:pPr>
            <w:r w:rsidRPr="00036E6D">
              <w:rPr>
                <w:rFonts w:ascii="Arial" w:hAnsi="Arial" w:cs="Arial"/>
                <w:sz w:val="22"/>
                <w:szCs w:val="28"/>
              </w:rPr>
              <w:t>EM Haematology ECAG</w:t>
            </w:r>
            <w:r w:rsidR="001C14D9" w:rsidRPr="00036E6D">
              <w:rPr>
                <w:rFonts w:ascii="Arial" w:hAnsi="Arial" w:cs="Arial"/>
                <w:sz w:val="22"/>
                <w:szCs w:val="28"/>
              </w:rPr>
              <w:t xml:space="preserve">  03/</w:t>
            </w:r>
            <w:r w:rsidR="005A6939" w:rsidRPr="00036E6D">
              <w:rPr>
                <w:rFonts w:ascii="Arial" w:hAnsi="Arial" w:cs="Arial"/>
                <w:sz w:val="22"/>
                <w:szCs w:val="28"/>
              </w:rPr>
              <w:t>10/</w:t>
            </w:r>
            <w:r w:rsidR="001C14D9" w:rsidRPr="00036E6D">
              <w:rPr>
                <w:rFonts w:ascii="Arial" w:hAnsi="Arial" w:cs="Arial"/>
                <w:sz w:val="22"/>
                <w:szCs w:val="28"/>
              </w:rPr>
              <w:t>2025</w:t>
            </w:r>
          </w:p>
        </w:tc>
      </w:tr>
      <w:tr w:rsidR="006B4452" w:rsidRPr="003A6A77" w14:paraId="68650CC6" w14:textId="77777777" w:rsidTr="006D7FD4">
        <w:trPr>
          <w:trHeight w:val="334"/>
        </w:trPr>
        <w:tc>
          <w:tcPr>
            <w:tcW w:w="3936" w:type="dxa"/>
            <w:vAlign w:val="center"/>
          </w:tcPr>
          <w:p w14:paraId="0547964B" w14:textId="77777777" w:rsidR="006B4452" w:rsidRPr="00B10589" w:rsidRDefault="006B4452" w:rsidP="006D7FD4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8"/>
              </w:rPr>
            </w:pPr>
            <w:r w:rsidRPr="00B10589">
              <w:rPr>
                <w:rFonts w:ascii="Arial" w:hAnsi="Arial" w:cs="Arial"/>
                <w:b/>
                <w:sz w:val="22"/>
                <w:szCs w:val="28"/>
              </w:rPr>
              <w:t>Review date</w:t>
            </w:r>
            <w:r w:rsidR="00904694">
              <w:rPr>
                <w:rFonts w:ascii="Arial" w:hAnsi="Arial" w:cs="Arial"/>
                <w:b/>
                <w:sz w:val="22"/>
                <w:szCs w:val="28"/>
              </w:rPr>
              <w:t>:</w:t>
            </w:r>
          </w:p>
        </w:tc>
        <w:tc>
          <w:tcPr>
            <w:tcW w:w="5816" w:type="dxa"/>
          </w:tcPr>
          <w:p w14:paraId="265D67D5" w14:textId="77777777" w:rsidR="006B4452" w:rsidRPr="00B10589" w:rsidRDefault="005A6939" w:rsidP="006D7FD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8"/>
              </w:rPr>
            </w:pPr>
            <w:r>
              <w:rPr>
                <w:rFonts w:ascii="Arial" w:hAnsi="Arial" w:cs="Arial"/>
                <w:sz w:val="22"/>
                <w:szCs w:val="28"/>
              </w:rPr>
              <w:t>October</w:t>
            </w:r>
            <w:r w:rsidR="006B4452">
              <w:rPr>
                <w:rFonts w:ascii="Arial" w:hAnsi="Arial" w:cs="Arial"/>
                <w:sz w:val="22"/>
                <w:szCs w:val="28"/>
              </w:rPr>
              <w:t xml:space="preserve"> 202</w:t>
            </w:r>
            <w:r w:rsidR="00904694">
              <w:rPr>
                <w:rFonts w:ascii="Arial" w:hAnsi="Arial" w:cs="Arial"/>
                <w:sz w:val="22"/>
                <w:szCs w:val="28"/>
              </w:rPr>
              <w:t>7</w:t>
            </w:r>
          </w:p>
        </w:tc>
      </w:tr>
      <w:tr w:rsidR="006B4452" w:rsidRPr="003A6A77" w14:paraId="33FABCC9" w14:textId="77777777" w:rsidTr="006D7FD4">
        <w:trPr>
          <w:trHeight w:val="296"/>
        </w:trPr>
        <w:tc>
          <w:tcPr>
            <w:tcW w:w="3936" w:type="dxa"/>
            <w:vAlign w:val="center"/>
          </w:tcPr>
          <w:p w14:paraId="07A80331" w14:textId="77777777" w:rsidR="006B4452" w:rsidRPr="00B10589" w:rsidRDefault="006B4452" w:rsidP="006D7FD4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8"/>
              </w:rPr>
            </w:pPr>
            <w:r w:rsidRPr="00B10589">
              <w:rPr>
                <w:rFonts w:ascii="Arial" w:hAnsi="Arial" w:cs="Arial"/>
                <w:b/>
                <w:sz w:val="22"/>
                <w:szCs w:val="28"/>
              </w:rPr>
              <w:t xml:space="preserve">Explicit definition of patient group to which it applies </w:t>
            </w:r>
            <w:r w:rsidRPr="00B10589">
              <w:rPr>
                <w:rFonts w:ascii="Arial" w:hAnsi="Arial" w:cs="Arial"/>
                <w:b/>
                <w:i/>
                <w:sz w:val="18"/>
                <w:szCs w:val="28"/>
              </w:rPr>
              <w:t>(e.g. inclusion and exclusion criteria, diagnosis):</w:t>
            </w:r>
          </w:p>
        </w:tc>
        <w:tc>
          <w:tcPr>
            <w:tcW w:w="5816" w:type="dxa"/>
          </w:tcPr>
          <w:p w14:paraId="538F1A8F" w14:textId="77777777" w:rsidR="006B4452" w:rsidRPr="00B10589" w:rsidRDefault="006B4452" w:rsidP="006D7FD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8"/>
              </w:rPr>
            </w:pPr>
            <w:r w:rsidRPr="006B4452">
              <w:rPr>
                <w:rFonts w:ascii="Arial" w:hAnsi="Arial" w:cs="Arial"/>
                <w:sz w:val="22"/>
                <w:szCs w:val="28"/>
              </w:rPr>
              <w:t xml:space="preserve">Patients with Lymphoma </w:t>
            </w:r>
            <w:proofErr w:type="spellStart"/>
            <w:r w:rsidRPr="006B4452">
              <w:rPr>
                <w:rFonts w:ascii="Arial" w:hAnsi="Arial" w:cs="Arial"/>
                <w:sz w:val="22"/>
                <w:szCs w:val="28"/>
              </w:rPr>
              <w:t>receving</w:t>
            </w:r>
            <w:proofErr w:type="spellEnd"/>
            <w:r w:rsidRPr="006B4452">
              <w:rPr>
                <w:rFonts w:ascii="Arial" w:hAnsi="Arial" w:cs="Arial"/>
                <w:sz w:val="22"/>
                <w:szCs w:val="28"/>
              </w:rPr>
              <w:t xml:space="preserve"> steroid containing chemotherapy regimens.</w:t>
            </w:r>
          </w:p>
        </w:tc>
      </w:tr>
      <w:tr w:rsidR="006B4452" w:rsidRPr="003A6A77" w14:paraId="58A334A8" w14:textId="77777777" w:rsidTr="006D7FD4">
        <w:trPr>
          <w:trHeight w:val="296"/>
        </w:trPr>
        <w:tc>
          <w:tcPr>
            <w:tcW w:w="3936" w:type="dxa"/>
            <w:vAlign w:val="center"/>
          </w:tcPr>
          <w:p w14:paraId="352946E2" w14:textId="77777777" w:rsidR="006B4452" w:rsidRPr="00B10589" w:rsidRDefault="006B4452" w:rsidP="006D7FD4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8"/>
              </w:rPr>
            </w:pPr>
            <w:r>
              <w:rPr>
                <w:rFonts w:ascii="Arial" w:hAnsi="Arial" w:cs="Arial"/>
                <w:b/>
                <w:sz w:val="22"/>
                <w:szCs w:val="28"/>
              </w:rPr>
              <w:t>NICE guidance reference:</w:t>
            </w:r>
          </w:p>
        </w:tc>
        <w:tc>
          <w:tcPr>
            <w:tcW w:w="5816" w:type="dxa"/>
          </w:tcPr>
          <w:p w14:paraId="0B911A1B" w14:textId="77777777" w:rsidR="006B4452" w:rsidRPr="00B10589" w:rsidRDefault="006B4452" w:rsidP="006D7FD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8"/>
              </w:rPr>
            </w:pPr>
            <w:r>
              <w:rPr>
                <w:rFonts w:ascii="Arial" w:hAnsi="Arial" w:cs="Arial"/>
                <w:sz w:val="22"/>
                <w:szCs w:val="28"/>
              </w:rPr>
              <w:t>N/A</w:t>
            </w:r>
          </w:p>
        </w:tc>
      </w:tr>
      <w:tr w:rsidR="006B4452" w:rsidRPr="003A6A77" w14:paraId="06167524" w14:textId="77777777" w:rsidTr="006D7FD4">
        <w:trPr>
          <w:trHeight w:val="296"/>
        </w:trPr>
        <w:tc>
          <w:tcPr>
            <w:tcW w:w="3936" w:type="dxa"/>
            <w:vAlign w:val="center"/>
          </w:tcPr>
          <w:p w14:paraId="0827E960" w14:textId="77777777" w:rsidR="006B4452" w:rsidRDefault="006B4452" w:rsidP="006D7FD4">
            <w:pPr>
              <w:pStyle w:val="NoSpacing"/>
              <w:rPr>
                <w:rFonts w:ascii="Arial" w:hAnsi="Arial" w:cs="Arial"/>
                <w:b/>
                <w:sz w:val="22"/>
              </w:rPr>
            </w:pPr>
            <w:r w:rsidRPr="00CD0ADC">
              <w:rPr>
                <w:rFonts w:ascii="Arial" w:hAnsi="Arial" w:cs="Arial"/>
                <w:b/>
                <w:sz w:val="22"/>
              </w:rPr>
              <w:t>Summary of evidence base this guideline has been created from:</w:t>
            </w:r>
          </w:p>
          <w:p w14:paraId="7E30C144" w14:textId="77777777" w:rsidR="006B4452" w:rsidRPr="00B10589" w:rsidRDefault="006B4452" w:rsidP="006D7FD4">
            <w:pPr>
              <w:pStyle w:val="NoSpacing"/>
              <w:rPr>
                <w:rFonts w:ascii="Arial" w:hAnsi="Arial" w:cs="Arial"/>
                <w:b/>
                <w:sz w:val="22"/>
                <w:szCs w:val="28"/>
              </w:rPr>
            </w:pPr>
            <w:r w:rsidRPr="00CD0ADC">
              <w:rPr>
                <w:rFonts w:ascii="Arial" w:hAnsi="Arial" w:cs="Arial"/>
                <w:sz w:val="20"/>
                <w:szCs w:val="28"/>
              </w:rPr>
              <w:t>(other than NICE)</w:t>
            </w:r>
          </w:p>
        </w:tc>
        <w:tc>
          <w:tcPr>
            <w:tcW w:w="5816" w:type="dxa"/>
          </w:tcPr>
          <w:p w14:paraId="2F735327" w14:textId="77777777" w:rsidR="006B4452" w:rsidRPr="008E49CF" w:rsidRDefault="006B4452" w:rsidP="006D7FD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E49CF">
              <w:rPr>
                <w:rFonts w:ascii="Arial" w:hAnsi="Arial" w:cs="Arial"/>
                <w:sz w:val="20"/>
                <w:szCs w:val="20"/>
              </w:rPr>
              <w:t xml:space="preserve">1. Three small sized randomized studies </w:t>
            </w:r>
            <w:r w:rsidR="00CE5C37" w:rsidRPr="008E49CF">
              <w:rPr>
                <w:rFonts w:ascii="Arial" w:hAnsi="Arial" w:cs="Arial"/>
                <w:sz w:val="20"/>
                <w:szCs w:val="20"/>
              </w:rPr>
              <w:t xml:space="preserve">which </w:t>
            </w:r>
            <w:r w:rsidRPr="008E49CF">
              <w:rPr>
                <w:rFonts w:ascii="Arial" w:hAnsi="Arial" w:cs="Arial"/>
                <w:sz w:val="20"/>
                <w:szCs w:val="20"/>
              </w:rPr>
              <w:t>all provided consistent efficacy res</w:t>
            </w:r>
            <w:r w:rsidR="00CE5C37" w:rsidRPr="008E49CF">
              <w:rPr>
                <w:rFonts w:ascii="Arial" w:hAnsi="Arial" w:cs="Arial"/>
                <w:sz w:val="20"/>
                <w:szCs w:val="20"/>
              </w:rPr>
              <w:t>ults for oral and intravenous bisphosphonate</w:t>
            </w:r>
            <w:r w:rsidRPr="008E49CF">
              <w:rPr>
                <w:rFonts w:ascii="Arial" w:hAnsi="Arial" w:cs="Arial"/>
                <w:sz w:val="20"/>
                <w:szCs w:val="20"/>
              </w:rPr>
              <w:t>s in reducing BMD loss during lymphoma treatment.</w:t>
            </w:r>
          </w:p>
          <w:p w14:paraId="7649C5F9" w14:textId="77777777" w:rsidR="006B4452" w:rsidRPr="008E49CF" w:rsidRDefault="006B4452" w:rsidP="008E49CF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E49CF">
              <w:rPr>
                <w:rFonts w:ascii="Arial" w:hAnsi="Arial" w:cs="Arial"/>
                <w:sz w:val="20"/>
                <w:szCs w:val="20"/>
              </w:rPr>
              <w:t>2. Two cohort studies of glucocorticoid induced osteoporosis risk and related fracture events in lymphoma survivors.</w:t>
            </w:r>
          </w:p>
          <w:p w14:paraId="073CD440" w14:textId="77777777" w:rsidR="006B4452" w:rsidRPr="008E49CF" w:rsidRDefault="006B4452" w:rsidP="006B4452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E49CF">
              <w:rPr>
                <w:rFonts w:ascii="Arial" w:hAnsi="Arial" w:cs="Arial"/>
                <w:sz w:val="20"/>
                <w:szCs w:val="20"/>
              </w:rPr>
              <w:t>3. Multiple registry/retrospective studies of glucocorticoid induced osteoporosis risk and related fracture events in lymphoma survivors.</w:t>
            </w:r>
          </w:p>
          <w:p w14:paraId="43A75937" w14:textId="77777777" w:rsidR="006B4452" w:rsidRPr="00B10589" w:rsidRDefault="006B4452" w:rsidP="006B4452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8"/>
              </w:rPr>
            </w:pPr>
            <w:r w:rsidRPr="008E49CF">
              <w:rPr>
                <w:rFonts w:ascii="Arial" w:hAnsi="Arial" w:cs="Arial"/>
                <w:sz w:val="20"/>
                <w:szCs w:val="20"/>
              </w:rPr>
              <w:t>4. Guidelines from the 2017 American College of Rheumatology (ACR) Guideline for the Prevention and Treatment of Glucocorticoid-Induced Osteoporosis</w:t>
            </w:r>
          </w:p>
        </w:tc>
      </w:tr>
      <w:tr w:rsidR="006B4452" w:rsidRPr="003A6A77" w14:paraId="46FCF19F" w14:textId="77777777" w:rsidTr="006D7FD4">
        <w:trPr>
          <w:trHeight w:val="954"/>
        </w:trPr>
        <w:tc>
          <w:tcPr>
            <w:tcW w:w="9752" w:type="dxa"/>
            <w:gridSpan w:val="2"/>
            <w:vAlign w:val="center"/>
          </w:tcPr>
          <w:p w14:paraId="2698979C" w14:textId="77777777" w:rsidR="006B4452" w:rsidRPr="00B10589" w:rsidRDefault="005109B6" w:rsidP="006D7FD4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  <w:sz w:val="22"/>
                <w:szCs w:val="28"/>
              </w:rPr>
            </w:pPr>
            <w:r>
              <w:rPr>
                <w:rFonts w:ascii="Arial" w:hAnsi="Arial" w:cs="Arial"/>
                <w:b/>
                <w:i/>
                <w:sz w:val="22"/>
                <w:szCs w:val="28"/>
              </w:rPr>
              <w:t>C</w:t>
            </w:r>
            <w:r w:rsidR="006B4452" w:rsidRPr="00B10589">
              <w:rPr>
                <w:rFonts w:ascii="Arial" w:hAnsi="Arial" w:cs="Arial"/>
                <w:b/>
                <w:i/>
                <w:sz w:val="22"/>
                <w:szCs w:val="28"/>
              </w:rPr>
              <w:t xml:space="preserve">linical guidelines are guidelines only. The interpretation and application of clinical guidelines will remain the responsibility of the individual clinician. If in </w:t>
            </w:r>
            <w:proofErr w:type="gramStart"/>
            <w:r w:rsidR="006B4452" w:rsidRPr="00B10589">
              <w:rPr>
                <w:rFonts w:ascii="Arial" w:hAnsi="Arial" w:cs="Arial"/>
                <w:b/>
                <w:i/>
                <w:sz w:val="22"/>
                <w:szCs w:val="28"/>
              </w:rPr>
              <w:t>doubt</w:t>
            </w:r>
            <w:proofErr w:type="gramEnd"/>
            <w:r w:rsidR="006B4452" w:rsidRPr="00B10589">
              <w:rPr>
                <w:rFonts w:ascii="Arial" w:hAnsi="Arial" w:cs="Arial"/>
                <w:b/>
                <w:i/>
                <w:sz w:val="22"/>
                <w:szCs w:val="28"/>
              </w:rPr>
              <w:t xml:space="preserve"> contact a senior colleague or expert. Caution is advised when using guidelines after the review date</w:t>
            </w:r>
          </w:p>
        </w:tc>
      </w:tr>
    </w:tbl>
    <w:p w14:paraId="70CE3235" w14:textId="77777777" w:rsidR="00E35DD2" w:rsidRDefault="00E35DD2" w:rsidP="00F339EF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1195"/>
        <w:gridCol w:w="2380"/>
        <w:gridCol w:w="1547"/>
        <w:gridCol w:w="3078"/>
      </w:tblGrid>
      <w:tr w:rsidR="001C14D9" w:rsidRPr="00432640" w14:paraId="1DC37EBA" w14:textId="77777777" w:rsidTr="00432640">
        <w:tc>
          <w:tcPr>
            <w:tcW w:w="1526" w:type="dxa"/>
            <w:shd w:val="clear" w:color="auto" w:fill="auto"/>
          </w:tcPr>
          <w:p w14:paraId="3169061A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32640">
              <w:rPr>
                <w:rFonts w:ascii="Arial" w:hAnsi="Arial" w:cs="Arial"/>
                <w:bCs/>
                <w:sz w:val="22"/>
                <w:szCs w:val="22"/>
              </w:rPr>
              <w:t>Version No.</w:t>
            </w:r>
          </w:p>
        </w:tc>
        <w:tc>
          <w:tcPr>
            <w:tcW w:w="1134" w:type="dxa"/>
            <w:shd w:val="clear" w:color="auto" w:fill="auto"/>
          </w:tcPr>
          <w:p w14:paraId="251BEE2F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32640">
              <w:rPr>
                <w:rFonts w:ascii="Arial" w:hAnsi="Arial" w:cs="Arial"/>
                <w:bCs/>
                <w:sz w:val="22"/>
                <w:szCs w:val="22"/>
              </w:rPr>
              <w:t>Date</w:t>
            </w:r>
          </w:p>
        </w:tc>
        <w:tc>
          <w:tcPr>
            <w:tcW w:w="2410" w:type="dxa"/>
            <w:shd w:val="clear" w:color="auto" w:fill="auto"/>
          </w:tcPr>
          <w:p w14:paraId="3B8D59A4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32640">
              <w:rPr>
                <w:rFonts w:ascii="Arial" w:hAnsi="Arial" w:cs="Arial"/>
                <w:bCs/>
                <w:sz w:val="22"/>
                <w:szCs w:val="22"/>
              </w:rPr>
              <w:t>Revision Author</w:t>
            </w:r>
          </w:p>
        </w:tc>
        <w:tc>
          <w:tcPr>
            <w:tcW w:w="1559" w:type="dxa"/>
            <w:shd w:val="clear" w:color="auto" w:fill="auto"/>
          </w:tcPr>
          <w:p w14:paraId="38B4B6E1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32640">
              <w:rPr>
                <w:rFonts w:ascii="Arial" w:hAnsi="Arial" w:cs="Arial"/>
                <w:bCs/>
                <w:sz w:val="22"/>
                <w:szCs w:val="22"/>
              </w:rPr>
              <w:t>Status</w:t>
            </w:r>
          </w:p>
        </w:tc>
        <w:tc>
          <w:tcPr>
            <w:tcW w:w="3118" w:type="dxa"/>
            <w:shd w:val="clear" w:color="auto" w:fill="auto"/>
          </w:tcPr>
          <w:p w14:paraId="07D8A876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32640">
              <w:rPr>
                <w:rFonts w:ascii="Arial" w:hAnsi="Arial" w:cs="Arial"/>
                <w:bCs/>
                <w:sz w:val="22"/>
                <w:szCs w:val="22"/>
              </w:rPr>
              <w:t>Description i.e. changes made</w:t>
            </w:r>
          </w:p>
        </w:tc>
      </w:tr>
      <w:tr w:rsidR="001C14D9" w:rsidRPr="00432640" w14:paraId="0360650F" w14:textId="77777777" w:rsidTr="00432640">
        <w:tc>
          <w:tcPr>
            <w:tcW w:w="1526" w:type="dxa"/>
            <w:shd w:val="clear" w:color="auto" w:fill="auto"/>
          </w:tcPr>
          <w:p w14:paraId="6FE16076" w14:textId="77777777" w:rsidR="001C14D9" w:rsidRPr="00432640" w:rsidRDefault="005A6939" w:rsidP="0043264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1.0</w:t>
            </w:r>
          </w:p>
        </w:tc>
        <w:tc>
          <w:tcPr>
            <w:tcW w:w="1134" w:type="dxa"/>
            <w:shd w:val="clear" w:color="auto" w:fill="auto"/>
          </w:tcPr>
          <w:p w14:paraId="343E863B" w14:textId="77777777" w:rsidR="001C14D9" w:rsidRPr="00432640" w:rsidRDefault="005A693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March 2025</w:t>
            </w:r>
          </w:p>
        </w:tc>
        <w:tc>
          <w:tcPr>
            <w:tcW w:w="2410" w:type="dxa"/>
            <w:shd w:val="clear" w:color="auto" w:fill="auto"/>
          </w:tcPr>
          <w:p w14:paraId="5DB0468B" w14:textId="77777777" w:rsidR="001C14D9" w:rsidRPr="00432640" w:rsidRDefault="005A693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 Bishton</w:t>
            </w:r>
          </w:p>
        </w:tc>
        <w:tc>
          <w:tcPr>
            <w:tcW w:w="1559" w:type="dxa"/>
            <w:shd w:val="clear" w:color="auto" w:fill="auto"/>
          </w:tcPr>
          <w:p w14:paraId="4E8F3CC7" w14:textId="77777777" w:rsidR="001C14D9" w:rsidRPr="00432640" w:rsidRDefault="005A693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Draft</w:t>
            </w:r>
            <w:r w:rsidR="008129E4">
              <w:rPr>
                <w:rFonts w:ascii="Arial" w:hAnsi="Arial" w:cs="Arial"/>
                <w:bCs/>
                <w:sz w:val="20"/>
                <w:szCs w:val="20"/>
              </w:rPr>
              <w:t>v1.0</w:t>
            </w:r>
          </w:p>
        </w:tc>
        <w:tc>
          <w:tcPr>
            <w:tcW w:w="3118" w:type="dxa"/>
            <w:shd w:val="clear" w:color="auto" w:fill="auto"/>
          </w:tcPr>
          <w:p w14:paraId="681B88EA" w14:textId="77777777" w:rsidR="001C14D9" w:rsidRPr="00432640" w:rsidRDefault="00C90383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C90383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draft</w:t>
            </w:r>
          </w:p>
        </w:tc>
      </w:tr>
      <w:tr w:rsidR="001C14D9" w:rsidRPr="00432640" w14:paraId="0EFAD4F9" w14:textId="77777777" w:rsidTr="00432640">
        <w:tc>
          <w:tcPr>
            <w:tcW w:w="1526" w:type="dxa"/>
            <w:shd w:val="clear" w:color="auto" w:fill="auto"/>
          </w:tcPr>
          <w:p w14:paraId="2411A114" w14:textId="77777777" w:rsidR="001C14D9" w:rsidRPr="00432640" w:rsidRDefault="005A6939" w:rsidP="0043264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1134" w:type="dxa"/>
            <w:shd w:val="clear" w:color="auto" w:fill="auto"/>
          </w:tcPr>
          <w:p w14:paraId="535D51AF" w14:textId="77777777" w:rsidR="001C14D9" w:rsidRPr="00432640" w:rsidRDefault="005A693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July</w:t>
            </w:r>
          </w:p>
        </w:tc>
        <w:tc>
          <w:tcPr>
            <w:tcW w:w="2410" w:type="dxa"/>
            <w:shd w:val="clear" w:color="auto" w:fill="auto"/>
          </w:tcPr>
          <w:p w14:paraId="3E13831C" w14:textId="77777777" w:rsidR="001C14D9" w:rsidRPr="00432640" w:rsidRDefault="00C90383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 Bishton</w:t>
            </w:r>
          </w:p>
        </w:tc>
        <w:tc>
          <w:tcPr>
            <w:tcW w:w="1559" w:type="dxa"/>
            <w:shd w:val="clear" w:color="auto" w:fill="auto"/>
          </w:tcPr>
          <w:p w14:paraId="0D99AF87" w14:textId="77777777" w:rsidR="001C14D9" w:rsidRPr="00432640" w:rsidRDefault="00C90383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Draft</w:t>
            </w:r>
            <w:r w:rsidR="008129E4">
              <w:rPr>
                <w:rFonts w:ascii="Arial" w:hAnsi="Arial" w:cs="Arial"/>
                <w:bCs/>
                <w:sz w:val="20"/>
                <w:szCs w:val="20"/>
              </w:rPr>
              <w:t>v1.1</w:t>
            </w:r>
          </w:p>
        </w:tc>
        <w:tc>
          <w:tcPr>
            <w:tcW w:w="3118" w:type="dxa"/>
            <w:shd w:val="clear" w:color="auto" w:fill="auto"/>
          </w:tcPr>
          <w:p w14:paraId="5BEF862A" w14:textId="77777777" w:rsidR="001C14D9" w:rsidRPr="00432640" w:rsidRDefault="00C90383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Update to include use of alendronic &amp; zolendronic acids</w:t>
            </w:r>
          </w:p>
        </w:tc>
      </w:tr>
      <w:tr w:rsidR="001C14D9" w:rsidRPr="00432640" w14:paraId="0AD9B98D" w14:textId="77777777" w:rsidTr="00432640">
        <w:tc>
          <w:tcPr>
            <w:tcW w:w="1526" w:type="dxa"/>
            <w:shd w:val="clear" w:color="auto" w:fill="auto"/>
          </w:tcPr>
          <w:p w14:paraId="47C91485" w14:textId="77777777" w:rsidR="001C14D9" w:rsidRPr="00432640" w:rsidRDefault="00F829FC" w:rsidP="0043264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1134" w:type="dxa"/>
            <w:shd w:val="clear" w:color="auto" w:fill="auto"/>
          </w:tcPr>
          <w:p w14:paraId="082517C6" w14:textId="77777777" w:rsidR="001C14D9" w:rsidRPr="00432640" w:rsidRDefault="00F829FC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September</w:t>
            </w:r>
          </w:p>
        </w:tc>
        <w:tc>
          <w:tcPr>
            <w:tcW w:w="2410" w:type="dxa"/>
            <w:shd w:val="clear" w:color="auto" w:fill="auto"/>
          </w:tcPr>
          <w:p w14:paraId="120DB829" w14:textId="77777777" w:rsidR="001C14D9" w:rsidRPr="00432640" w:rsidRDefault="00F829FC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 Bishton</w:t>
            </w:r>
          </w:p>
        </w:tc>
        <w:tc>
          <w:tcPr>
            <w:tcW w:w="1559" w:type="dxa"/>
            <w:shd w:val="clear" w:color="auto" w:fill="auto"/>
          </w:tcPr>
          <w:p w14:paraId="335EBD55" w14:textId="77777777" w:rsidR="001C14D9" w:rsidRPr="00432640" w:rsidRDefault="00F829FC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Draft</w:t>
            </w:r>
            <w:r w:rsidR="008129E4">
              <w:rPr>
                <w:rFonts w:ascii="Arial" w:hAnsi="Arial" w:cs="Arial"/>
                <w:bCs/>
                <w:sz w:val="20"/>
                <w:szCs w:val="20"/>
              </w:rPr>
              <w:t>v1.2</w:t>
            </w:r>
          </w:p>
        </w:tc>
        <w:tc>
          <w:tcPr>
            <w:tcW w:w="3118" w:type="dxa"/>
            <w:shd w:val="clear" w:color="auto" w:fill="auto"/>
          </w:tcPr>
          <w:p w14:paraId="549247CF" w14:textId="77777777" w:rsidR="001C14D9" w:rsidRPr="00432640" w:rsidRDefault="00F829FC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Update following recent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review  by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ECAG members</w:t>
            </w:r>
          </w:p>
        </w:tc>
      </w:tr>
      <w:tr w:rsidR="001C14D9" w:rsidRPr="00432640" w14:paraId="6A362331" w14:textId="77777777" w:rsidTr="00432640">
        <w:tc>
          <w:tcPr>
            <w:tcW w:w="1526" w:type="dxa"/>
            <w:shd w:val="clear" w:color="auto" w:fill="auto"/>
          </w:tcPr>
          <w:p w14:paraId="5DB01888" w14:textId="77777777" w:rsidR="001C14D9" w:rsidRPr="00432640" w:rsidRDefault="00036E6D" w:rsidP="0043264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2.0</w:t>
            </w:r>
          </w:p>
        </w:tc>
        <w:tc>
          <w:tcPr>
            <w:tcW w:w="1134" w:type="dxa"/>
            <w:shd w:val="clear" w:color="auto" w:fill="auto"/>
          </w:tcPr>
          <w:p w14:paraId="47AA1018" w14:textId="77777777" w:rsidR="001C14D9" w:rsidRPr="00432640" w:rsidRDefault="00036E6D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October 2025</w:t>
            </w:r>
          </w:p>
        </w:tc>
        <w:tc>
          <w:tcPr>
            <w:tcW w:w="2410" w:type="dxa"/>
            <w:shd w:val="clear" w:color="auto" w:fill="auto"/>
          </w:tcPr>
          <w:p w14:paraId="623837C4" w14:textId="77777777" w:rsidR="001C14D9" w:rsidRPr="00432640" w:rsidRDefault="00036E6D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 Bishton</w:t>
            </w:r>
          </w:p>
        </w:tc>
        <w:tc>
          <w:tcPr>
            <w:tcW w:w="1559" w:type="dxa"/>
            <w:shd w:val="clear" w:color="auto" w:fill="auto"/>
          </w:tcPr>
          <w:p w14:paraId="21C04C3F" w14:textId="77777777" w:rsidR="001C14D9" w:rsidRPr="00432640" w:rsidRDefault="00036E6D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FINAL</w:t>
            </w:r>
          </w:p>
        </w:tc>
        <w:tc>
          <w:tcPr>
            <w:tcW w:w="3118" w:type="dxa"/>
            <w:shd w:val="clear" w:color="auto" w:fill="auto"/>
          </w:tcPr>
          <w:p w14:paraId="6939D1E5" w14:textId="77777777" w:rsidR="001C14D9" w:rsidRPr="00432640" w:rsidRDefault="00036E6D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Ratified at ECAG meeting 3 October 2025</w:t>
            </w:r>
          </w:p>
        </w:tc>
      </w:tr>
      <w:tr w:rsidR="001C14D9" w:rsidRPr="00432640" w14:paraId="6C2421EE" w14:textId="77777777" w:rsidTr="00432640">
        <w:tc>
          <w:tcPr>
            <w:tcW w:w="1526" w:type="dxa"/>
            <w:shd w:val="clear" w:color="auto" w:fill="auto"/>
          </w:tcPr>
          <w:p w14:paraId="39F1094F" w14:textId="77777777" w:rsidR="001C14D9" w:rsidRPr="00432640" w:rsidRDefault="001C14D9" w:rsidP="0043264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EFEF4DD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604A1F8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AC67F49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C0DE557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C14D9" w:rsidRPr="00432640" w14:paraId="5CCDDD74" w14:textId="77777777" w:rsidTr="00432640">
        <w:tc>
          <w:tcPr>
            <w:tcW w:w="1526" w:type="dxa"/>
            <w:shd w:val="clear" w:color="auto" w:fill="auto"/>
          </w:tcPr>
          <w:p w14:paraId="413693E2" w14:textId="77777777" w:rsidR="001C14D9" w:rsidRPr="00432640" w:rsidRDefault="001C14D9" w:rsidP="0043264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5D418A5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4C26017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FED0647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316CD46" w14:textId="77777777" w:rsidR="001C14D9" w:rsidRPr="00432640" w:rsidRDefault="001C14D9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04694" w:rsidRPr="00432640" w14:paraId="43418A2B" w14:textId="77777777" w:rsidTr="00432640">
        <w:tc>
          <w:tcPr>
            <w:tcW w:w="1526" w:type="dxa"/>
            <w:shd w:val="clear" w:color="auto" w:fill="auto"/>
          </w:tcPr>
          <w:p w14:paraId="60B5A1FA" w14:textId="77777777" w:rsidR="00904694" w:rsidRPr="00432640" w:rsidRDefault="00904694" w:rsidP="0043264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313D0CF" w14:textId="77777777" w:rsidR="00904694" w:rsidRPr="00432640" w:rsidRDefault="00904694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A3E58A3" w14:textId="77777777" w:rsidR="00904694" w:rsidRPr="00432640" w:rsidRDefault="00904694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4DB2AF9" w14:textId="77777777" w:rsidR="00904694" w:rsidRPr="00432640" w:rsidRDefault="00904694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70C706B" w14:textId="77777777" w:rsidR="00904694" w:rsidRPr="00432640" w:rsidRDefault="00904694" w:rsidP="00193C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45E7088" w14:textId="77777777" w:rsidR="00904694" w:rsidRDefault="00904694" w:rsidP="001C14D9">
      <w:pPr>
        <w:ind w:left="720"/>
        <w:rPr>
          <w:rFonts w:ascii="Arial" w:hAnsi="Arial" w:cs="Arial"/>
          <w:b/>
        </w:rPr>
      </w:pPr>
    </w:p>
    <w:p w14:paraId="760FF43C" w14:textId="77777777" w:rsidR="005A6939" w:rsidRDefault="005A6939" w:rsidP="001C14D9">
      <w:pPr>
        <w:ind w:left="720"/>
        <w:rPr>
          <w:rFonts w:ascii="Arial" w:hAnsi="Arial" w:cs="Arial"/>
          <w:b/>
        </w:rPr>
      </w:pPr>
    </w:p>
    <w:p w14:paraId="5D19920A" w14:textId="77777777" w:rsidR="005A6939" w:rsidRDefault="005A6939" w:rsidP="001C14D9">
      <w:pPr>
        <w:ind w:left="720"/>
        <w:rPr>
          <w:rFonts w:ascii="Arial" w:hAnsi="Arial" w:cs="Arial"/>
          <w:b/>
        </w:rPr>
      </w:pPr>
    </w:p>
    <w:p w14:paraId="3904675E" w14:textId="77777777" w:rsidR="00BF1C03" w:rsidRPr="006D62AB" w:rsidRDefault="00BF1C03" w:rsidP="005A6939">
      <w:pPr>
        <w:ind w:left="720"/>
        <w:rPr>
          <w:rFonts w:ascii="Arial" w:hAnsi="Arial" w:cs="Arial"/>
          <w:b/>
        </w:rPr>
      </w:pPr>
      <w:r w:rsidRPr="006D62AB">
        <w:rPr>
          <w:rFonts w:ascii="Arial" w:hAnsi="Arial" w:cs="Arial"/>
          <w:b/>
        </w:rPr>
        <w:t>Introduction</w:t>
      </w:r>
    </w:p>
    <w:p w14:paraId="78FE63E7" w14:textId="77777777" w:rsidR="006D62AB" w:rsidRPr="006D62AB" w:rsidRDefault="006D62AB" w:rsidP="006D62AB">
      <w:pPr>
        <w:ind w:left="720"/>
        <w:rPr>
          <w:rFonts w:ascii="Arial" w:hAnsi="Arial" w:cs="Arial"/>
          <w:b/>
        </w:rPr>
      </w:pPr>
    </w:p>
    <w:p w14:paraId="524B7E31" w14:textId="77777777" w:rsidR="00116C94" w:rsidRDefault="00CE5C37" w:rsidP="00CE5C37">
      <w:pPr>
        <w:rPr>
          <w:rFonts w:ascii="Arial" w:hAnsi="Arial" w:cs="Arial"/>
        </w:rPr>
      </w:pPr>
      <w:r>
        <w:rPr>
          <w:rFonts w:ascii="Arial" w:hAnsi="Arial" w:cs="Arial"/>
        </w:rPr>
        <w:t>Improvements in</w:t>
      </w:r>
      <w:r w:rsidRPr="00CE5C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survival outcomes</w:t>
      </w:r>
      <w:r w:rsidRPr="00CE5C37">
        <w:rPr>
          <w:rFonts w:ascii="Arial" w:hAnsi="Arial" w:cs="Arial"/>
        </w:rPr>
        <w:t xml:space="preserve"> f</w:t>
      </w:r>
      <w:r>
        <w:rPr>
          <w:rFonts w:ascii="Arial" w:hAnsi="Arial" w:cs="Arial"/>
        </w:rPr>
        <w:t xml:space="preserve">or patients with lymphoma </w:t>
      </w:r>
      <w:proofErr w:type="spellStart"/>
      <w:r>
        <w:rPr>
          <w:rFonts w:ascii="Arial" w:hAnsi="Arial" w:cs="Arial"/>
        </w:rPr>
        <w:t>histologies</w:t>
      </w:r>
      <w:proofErr w:type="spellEnd"/>
      <w:r>
        <w:rPr>
          <w:rFonts w:ascii="Arial" w:hAnsi="Arial" w:cs="Arial"/>
        </w:rPr>
        <w:t xml:space="preserve"> has resulted in a greater </w:t>
      </w:r>
      <w:r w:rsidRPr="00CE5C37">
        <w:rPr>
          <w:rFonts w:ascii="Arial" w:hAnsi="Arial" w:cs="Arial"/>
        </w:rPr>
        <w:t xml:space="preserve">focus on </w:t>
      </w:r>
      <w:r>
        <w:rPr>
          <w:rFonts w:ascii="Arial" w:hAnsi="Arial" w:cs="Arial"/>
        </w:rPr>
        <w:t>a reduction in</w:t>
      </w:r>
      <w:r w:rsidRPr="00CE5C37">
        <w:rPr>
          <w:rFonts w:ascii="Arial" w:hAnsi="Arial" w:cs="Arial"/>
        </w:rPr>
        <w:t xml:space="preserve"> long-term compli</w:t>
      </w:r>
      <w:r>
        <w:rPr>
          <w:rFonts w:ascii="Arial" w:hAnsi="Arial" w:cs="Arial"/>
        </w:rPr>
        <w:t xml:space="preserve">cations of </w:t>
      </w:r>
      <w:proofErr w:type="gramStart"/>
      <w:r>
        <w:rPr>
          <w:rFonts w:ascii="Arial" w:hAnsi="Arial" w:cs="Arial"/>
        </w:rPr>
        <w:t>therapy</w:t>
      </w:r>
      <w:r w:rsidR="00A14B14">
        <w:rPr>
          <w:rFonts w:ascii="Arial" w:hAnsi="Arial" w:cs="Arial"/>
        </w:rPr>
        <w:t>(</w:t>
      </w:r>
      <w:proofErr w:type="gramEnd"/>
      <w:r w:rsidR="00A14B14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. </w:t>
      </w:r>
      <w:r w:rsidR="00116C94">
        <w:rPr>
          <w:rFonts w:ascii="Arial" w:hAnsi="Arial" w:cs="Arial"/>
        </w:rPr>
        <w:t>O</w:t>
      </w:r>
      <w:r w:rsidR="00116C94" w:rsidRPr="00116C94">
        <w:rPr>
          <w:rFonts w:ascii="Arial" w:hAnsi="Arial" w:cs="Arial"/>
        </w:rPr>
        <w:t>steoporosis is a common and impor</w:t>
      </w:r>
      <w:r w:rsidR="00116C94">
        <w:rPr>
          <w:rFonts w:ascii="Arial" w:hAnsi="Arial" w:cs="Arial"/>
        </w:rPr>
        <w:t xml:space="preserve">tant side effect of long-term </w:t>
      </w:r>
      <w:proofErr w:type="spellStart"/>
      <w:r w:rsidR="00116C94">
        <w:rPr>
          <w:rFonts w:ascii="Arial" w:hAnsi="Arial" w:cs="Arial"/>
        </w:rPr>
        <w:t>gluco</w:t>
      </w:r>
      <w:proofErr w:type="spellEnd"/>
      <w:r w:rsidR="00116C94">
        <w:rPr>
          <w:rFonts w:ascii="Arial" w:hAnsi="Arial" w:cs="Arial"/>
        </w:rPr>
        <w:t>-corticoid</w:t>
      </w:r>
      <w:r w:rsidR="00116C94" w:rsidRPr="00116C94">
        <w:rPr>
          <w:rFonts w:ascii="Arial" w:hAnsi="Arial" w:cs="Arial"/>
        </w:rPr>
        <w:t xml:space="preserve"> </w:t>
      </w:r>
      <w:r w:rsidR="008442D1">
        <w:rPr>
          <w:rFonts w:ascii="Arial" w:hAnsi="Arial" w:cs="Arial"/>
        </w:rPr>
        <w:t>treatment due to</w:t>
      </w:r>
      <w:r w:rsidR="00116C94">
        <w:rPr>
          <w:rFonts w:ascii="Arial" w:hAnsi="Arial" w:cs="Arial"/>
        </w:rPr>
        <w:t xml:space="preserve"> their effect</w:t>
      </w:r>
      <w:r w:rsidR="00116C94" w:rsidRPr="00116C94">
        <w:rPr>
          <w:rFonts w:ascii="Arial" w:hAnsi="Arial" w:cs="Arial"/>
        </w:rPr>
        <w:t xml:space="preserve"> on the balance of </w:t>
      </w:r>
      <w:r w:rsidR="00116C94">
        <w:rPr>
          <w:rFonts w:ascii="Arial" w:hAnsi="Arial" w:cs="Arial"/>
        </w:rPr>
        <w:t xml:space="preserve">bone </w:t>
      </w:r>
      <w:r w:rsidR="00116C94" w:rsidRPr="00116C94">
        <w:rPr>
          <w:rFonts w:ascii="Arial" w:hAnsi="Arial" w:cs="Arial"/>
        </w:rPr>
        <w:t>osteocl</w:t>
      </w:r>
      <w:r w:rsidR="00116C94">
        <w:rPr>
          <w:rFonts w:ascii="Arial" w:hAnsi="Arial" w:cs="Arial"/>
        </w:rPr>
        <w:t xml:space="preserve">ast and osteoblast </w:t>
      </w:r>
      <w:proofErr w:type="gramStart"/>
      <w:r w:rsidR="00116C94">
        <w:rPr>
          <w:rFonts w:ascii="Arial" w:hAnsi="Arial" w:cs="Arial"/>
        </w:rPr>
        <w:t>activity</w:t>
      </w:r>
      <w:r w:rsidR="00A14B14">
        <w:rPr>
          <w:rFonts w:ascii="Arial" w:hAnsi="Arial" w:cs="Arial"/>
        </w:rPr>
        <w:t>(</w:t>
      </w:r>
      <w:proofErr w:type="gramEnd"/>
      <w:r w:rsidR="00A14B14">
        <w:rPr>
          <w:rFonts w:ascii="Arial" w:hAnsi="Arial" w:cs="Arial"/>
        </w:rPr>
        <w:t>2,3)</w:t>
      </w:r>
      <w:r w:rsidR="00116C94">
        <w:rPr>
          <w:rFonts w:ascii="Arial" w:hAnsi="Arial" w:cs="Arial"/>
        </w:rPr>
        <w:t xml:space="preserve">. </w:t>
      </w:r>
      <w:r w:rsidR="00A14B14">
        <w:rPr>
          <w:rFonts w:ascii="Arial" w:hAnsi="Arial" w:cs="Arial"/>
        </w:rPr>
        <w:t>Compared to long-term low-dose glucocorticoids,</w:t>
      </w:r>
      <w:r w:rsidR="00A14B14" w:rsidRPr="00A14B14">
        <w:rPr>
          <w:rFonts w:ascii="Arial" w:hAnsi="Arial" w:cs="Arial"/>
        </w:rPr>
        <w:t xml:space="preserve"> </w:t>
      </w:r>
      <w:r w:rsidR="00A14B14">
        <w:rPr>
          <w:rFonts w:ascii="Arial" w:hAnsi="Arial" w:cs="Arial"/>
        </w:rPr>
        <w:t>d</w:t>
      </w:r>
      <w:r w:rsidR="00A14B14" w:rsidRPr="00A14B14">
        <w:rPr>
          <w:rFonts w:ascii="Arial" w:hAnsi="Arial" w:cs="Arial"/>
        </w:rPr>
        <w:t xml:space="preserve">ata on high-dose pulses of steroids as used for lymphoma treatment are more sparse; however, </w:t>
      </w:r>
      <w:r w:rsidR="00A14B14">
        <w:rPr>
          <w:rFonts w:ascii="Arial" w:hAnsi="Arial" w:cs="Arial"/>
        </w:rPr>
        <w:t>c</w:t>
      </w:r>
      <w:r w:rsidRPr="00CE5C37">
        <w:rPr>
          <w:rFonts w:ascii="Arial" w:hAnsi="Arial" w:cs="Arial"/>
        </w:rPr>
        <w:t>omplimentary populati</w:t>
      </w:r>
      <w:r>
        <w:rPr>
          <w:rFonts w:ascii="Arial" w:hAnsi="Arial" w:cs="Arial"/>
        </w:rPr>
        <w:t>on and retrospective series consistently</w:t>
      </w:r>
      <w:r w:rsidRPr="00CE5C37"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t>ighlight</w:t>
      </w:r>
      <w:r w:rsidRPr="00CE5C37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 xml:space="preserve">risks </w:t>
      </w:r>
      <w:r w:rsidRPr="00CE5C37">
        <w:rPr>
          <w:rFonts w:ascii="Arial" w:hAnsi="Arial" w:cs="Arial"/>
        </w:rPr>
        <w:t xml:space="preserve">of reduced bone mineral density and fractures </w:t>
      </w:r>
      <w:r>
        <w:rPr>
          <w:rFonts w:ascii="Arial" w:hAnsi="Arial" w:cs="Arial"/>
        </w:rPr>
        <w:t xml:space="preserve">following </w:t>
      </w:r>
      <w:r w:rsidRPr="00CE5C37">
        <w:rPr>
          <w:rFonts w:ascii="Arial" w:hAnsi="Arial" w:cs="Arial"/>
        </w:rPr>
        <w:t xml:space="preserve">corticosteroid containing chemotherapy regimens for </w:t>
      </w:r>
      <w:proofErr w:type="gramStart"/>
      <w:r w:rsidRPr="00CE5C37">
        <w:rPr>
          <w:rFonts w:ascii="Arial" w:hAnsi="Arial" w:cs="Arial"/>
        </w:rPr>
        <w:t>lymphoma</w:t>
      </w:r>
      <w:r w:rsidR="00A14B14">
        <w:rPr>
          <w:rFonts w:ascii="Arial" w:hAnsi="Arial" w:cs="Arial"/>
        </w:rPr>
        <w:t>(</w:t>
      </w:r>
      <w:proofErr w:type="gramEnd"/>
      <w:r w:rsidR="00A14B14">
        <w:rPr>
          <w:rFonts w:ascii="Arial" w:hAnsi="Arial" w:cs="Arial"/>
        </w:rPr>
        <w:t>4,5,6). R</w:t>
      </w:r>
      <w:r w:rsidR="00116C94" w:rsidRPr="00116C94">
        <w:rPr>
          <w:rFonts w:ascii="Arial" w:hAnsi="Arial" w:cs="Arial"/>
        </w:rPr>
        <w:t xml:space="preserve">isk </w:t>
      </w:r>
      <w:r w:rsidR="00A14B14">
        <w:rPr>
          <w:rFonts w:ascii="Arial" w:hAnsi="Arial" w:cs="Arial"/>
        </w:rPr>
        <w:t xml:space="preserve">appears </w:t>
      </w:r>
      <w:r w:rsidR="00116C94" w:rsidRPr="00116C94">
        <w:rPr>
          <w:rFonts w:ascii="Arial" w:hAnsi="Arial" w:cs="Arial"/>
        </w:rPr>
        <w:t>particularly high in the elderly, females and patients with comorbidities including</w:t>
      </w:r>
      <w:r w:rsidR="00116C94">
        <w:rPr>
          <w:rFonts w:ascii="Arial" w:hAnsi="Arial" w:cs="Arial"/>
        </w:rPr>
        <w:t xml:space="preserve"> pre-existing osteoporosis.</w:t>
      </w:r>
      <w:r w:rsidR="00116C94" w:rsidRPr="00116C94">
        <w:rPr>
          <w:rFonts w:ascii="Arial" w:hAnsi="Arial" w:cs="Arial"/>
        </w:rPr>
        <w:t xml:space="preserve"> </w:t>
      </w:r>
      <w:r w:rsidR="00A14B14" w:rsidRPr="00A14B14">
        <w:rPr>
          <w:rFonts w:ascii="Arial" w:hAnsi="Arial" w:cs="Arial"/>
        </w:rPr>
        <w:t xml:space="preserve">Cytotoxic chemotherapy may also increase osteoporosis risk independently, particularly in menopausal women and younger patients via effects on </w:t>
      </w:r>
      <w:proofErr w:type="gramStart"/>
      <w:r w:rsidR="00A14B14" w:rsidRPr="00A14B14">
        <w:rPr>
          <w:rFonts w:ascii="Arial" w:hAnsi="Arial" w:cs="Arial"/>
        </w:rPr>
        <w:t>gonadotrophins</w:t>
      </w:r>
      <w:r w:rsidR="00A14B14">
        <w:rPr>
          <w:rFonts w:ascii="Arial" w:hAnsi="Arial" w:cs="Arial"/>
        </w:rPr>
        <w:t>(</w:t>
      </w:r>
      <w:proofErr w:type="gramEnd"/>
      <w:r w:rsidR="00A14B14">
        <w:rPr>
          <w:rFonts w:ascii="Arial" w:hAnsi="Arial" w:cs="Arial"/>
        </w:rPr>
        <w:t>7,8)</w:t>
      </w:r>
      <w:r w:rsidR="00A14B14" w:rsidRPr="00A14B14">
        <w:rPr>
          <w:rFonts w:ascii="Arial" w:hAnsi="Arial" w:cs="Arial"/>
        </w:rPr>
        <w:t xml:space="preserve">. </w:t>
      </w:r>
      <w:r w:rsidR="00116C94" w:rsidRPr="00CE5C37">
        <w:rPr>
          <w:rFonts w:ascii="Arial" w:hAnsi="Arial" w:cs="Arial"/>
        </w:rPr>
        <w:t xml:space="preserve">Improved supportive care allowing more intensive treatment in an increasingly older population is likely to result in an increased number of </w:t>
      </w:r>
      <w:proofErr w:type="gramStart"/>
      <w:r w:rsidR="00116C94" w:rsidRPr="00CE5C37">
        <w:rPr>
          <w:rFonts w:ascii="Arial" w:hAnsi="Arial" w:cs="Arial"/>
        </w:rPr>
        <w:t>events</w:t>
      </w:r>
      <w:r w:rsidR="00A14B14">
        <w:rPr>
          <w:rFonts w:ascii="Arial" w:hAnsi="Arial" w:cs="Arial"/>
        </w:rPr>
        <w:t>(</w:t>
      </w:r>
      <w:proofErr w:type="gramEnd"/>
      <w:r w:rsidR="00A14B14">
        <w:rPr>
          <w:rFonts w:ascii="Arial" w:hAnsi="Arial" w:cs="Arial"/>
        </w:rPr>
        <w:t>9)</w:t>
      </w:r>
      <w:r w:rsidR="00116C94" w:rsidRPr="00CE5C37">
        <w:rPr>
          <w:rFonts w:ascii="Arial" w:hAnsi="Arial" w:cs="Arial"/>
        </w:rPr>
        <w:t>.</w:t>
      </w:r>
    </w:p>
    <w:p w14:paraId="3534FF95" w14:textId="77777777" w:rsidR="00116C94" w:rsidRDefault="00116C94" w:rsidP="00CE5C37">
      <w:pPr>
        <w:rPr>
          <w:rFonts w:ascii="Arial" w:hAnsi="Arial" w:cs="Arial"/>
        </w:rPr>
      </w:pPr>
    </w:p>
    <w:p w14:paraId="4D3DD28A" w14:textId="77777777" w:rsidR="00CE5C37" w:rsidRDefault="00116C94" w:rsidP="00CE5C37">
      <w:pPr>
        <w:rPr>
          <w:rFonts w:ascii="Arial" w:hAnsi="Arial" w:cs="Arial"/>
        </w:rPr>
      </w:pPr>
      <w:r w:rsidRPr="00116C94">
        <w:rPr>
          <w:rFonts w:ascii="Arial" w:hAnsi="Arial" w:cs="Arial"/>
        </w:rPr>
        <w:t>In prospective trials, intravenous and oral bisphosphonates delivered synchronously w</w:t>
      </w:r>
      <w:r>
        <w:rPr>
          <w:rFonts w:ascii="Arial" w:hAnsi="Arial" w:cs="Arial"/>
        </w:rPr>
        <w:t>ith lymphoma therapy reduced bone mineral density</w:t>
      </w:r>
      <w:r w:rsidRPr="00116C94">
        <w:rPr>
          <w:rFonts w:ascii="Arial" w:hAnsi="Arial" w:cs="Arial"/>
        </w:rPr>
        <w:t xml:space="preserve"> loss, although impact on fractures was not clearly documented likely due to the limited follow-up an</w:t>
      </w:r>
      <w:r>
        <w:rPr>
          <w:rFonts w:ascii="Arial" w:hAnsi="Arial" w:cs="Arial"/>
        </w:rPr>
        <w:t>d limited sample size.</w:t>
      </w:r>
      <w:r w:rsidRPr="00116C94">
        <w:rPr>
          <w:rFonts w:ascii="Arial" w:hAnsi="Arial" w:cs="Arial"/>
        </w:rPr>
        <w:t xml:space="preserve"> Importantly, biomarker analyses supported a favourable eff</w:t>
      </w:r>
      <w:r>
        <w:rPr>
          <w:rFonts w:ascii="Arial" w:hAnsi="Arial" w:cs="Arial"/>
        </w:rPr>
        <w:t>ect of bisphosphonate</w:t>
      </w:r>
      <w:r w:rsidRPr="00116C94">
        <w:rPr>
          <w:rFonts w:ascii="Arial" w:hAnsi="Arial" w:cs="Arial"/>
        </w:rPr>
        <w:t xml:space="preserve"> on bone </w:t>
      </w:r>
      <w:proofErr w:type="gramStart"/>
      <w:r w:rsidRPr="00116C94">
        <w:rPr>
          <w:rFonts w:ascii="Arial" w:hAnsi="Arial" w:cs="Arial"/>
        </w:rPr>
        <w:t>turnover</w:t>
      </w:r>
      <w:r w:rsidR="003C1FA4">
        <w:rPr>
          <w:rFonts w:ascii="Arial" w:hAnsi="Arial" w:cs="Arial"/>
        </w:rPr>
        <w:t>(</w:t>
      </w:r>
      <w:proofErr w:type="gramEnd"/>
      <w:r w:rsidR="003C1FA4">
        <w:rPr>
          <w:rFonts w:ascii="Arial" w:hAnsi="Arial" w:cs="Arial"/>
        </w:rPr>
        <w:t>10,11,12, 13)</w:t>
      </w:r>
      <w:r w:rsidRPr="00116C9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</w:t>
      </w:r>
      <w:r w:rsidRPr="00116C94">
        <w:rPr>
          <w:rFonts w:ascii="Arial" w:hAnsi="Arial" w:cs="Arial"/>
        </w:rPr>
        <w:t>he</w:t>
      </w:r>
      <w:r>
        <w:rPr>
          <w:rFonts w:ascii="Arial" w:hAnsi="Arial" w:cs="Arial"/>
        </w:rPr>
        <w:t xml:space="preserve"> optimal type and duration of bisphosphonate prophylaxis has</w:t>
      </w:r>
      <w:r w:rsidRPr="00116C94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ot been determined, but early</w:t>
      </w:r>
      <w:r w:rsidRPr="00116C94">
        <w:rPr>
          <w:rFonts w:ascii="Arial" w:hAnsi="Arial" w:cs="Arial"/>
        </w:rPr>
        <w:t xml:space="preserve"> initiation is likely critical due to</w:t>
      </w:r>
      <w:r>
        <w:rPr>
          <w:rFonts w:ascii="Arial" w:hAnsi="Arial" w:cs="Arial"/>
        </w:rPr>
        <w:t xml:space="preserve"> the observation of immediate glucocorticoid associated bone mineral density reduction following the initiation</w:t>
      </w:r>
      <w:r w:rsidRPr="00116C94">
        <w:rPr>
          <w:rFonts w:ascii="Arial" w:hAnsi="Arial" w:cs="Arial"/>
        </w:rPr>
        <w:t xml:space="preserve"> of </w:t>
      </w:r>
      <w:proofErr w:type="gramStart"/>
      <w:r w:rsidRPr="00116C94">
        <w:rPr>
          <w:rFonts w:ascii="Arial" w:hAnsi="Arial" w:cs="Arial"/>
        </w:rPr>
        <w:t>therapy</w:t>
      </w:r>
      <w:r w:rsidR="003C1FA4">
        <w:rPr>
          <w:rFonts w:ascii="Arial" w:hAnsi="Arial" w:cs="Arial"/>
        </w:rPr>
        <w:t>(</w:t>
      </w:r>
      <w:proofErr w:type="gramEnd"/>
      <w:r w:rsidR="003C1FA4">
        <w:rPr>
          <w:rFonts w:ascii="Arial" w:hAnsi="Arial" w:cs="Arial"/>
        </w:rPr>
        <w:t>4)</w:t>
      </w:r>
      <w:r w:rsidRPr="00116C94">
        <w:rPr>
          <w:rFonts w:ascii="Arial" w:hAnsi="Arial" w:cs="Arial"/>
        </w:rPr>
        <w:t>.</w:t>
      </w:r>
    </w:p>
    <w:p w14:paraId="57C2E90C" w14:textId="77777777" w:rsidR="00787A14" w:rsidRPr="00CE5C37" w:rsidRDefault="00787A14" w:rsidP="00CE5C37">
      <w:pPr>
        <w:rPr>
          <w:rFonts w:ascii="Arial" w:hAnsi="Arial" w:cs="Arial"/>
        </w:rPr>
      </w:pPr>
    </w:p>
    <w:p w14:paraId="6B73674B" w14:textId="77777777" w:rsidR="00CE5C37" w:rsidRPr="00CE5C37" w:rsidRDefault="00CE5C37" w:rsidP="00CE5C37">
      <w:pPr>
        <w:rPr>
          <w:rFonts w:ascii="Arial" w:hAnsi="Arial" w:cs="Arial"/>
        </w:rPr>
      </w:pPr>
    </w:p>
    <w:p w14:paraId="454EA4B4" w14:textId="77777777" w:rsidR="00CE5C37" w:rsidRPr="00CE5C37" w:rsidRDefault="00975472" w:rsidP="00CE5C37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Patients at risk</w:t>
      </w:r>
    </w:p>
    <w:p w14:paraId="75115BFD" w14:textId="77777777" w:rsidR="00CE5C37" w:rsidRPr="00CE5C37" w:rsidRDefault="00CE5C37" w:rsidP="00CE5C37">
      <w:pPr>
        <w:rPr>
          <w:rFonts w:ascii="Arial" w:hAnsi="Arial" w:cs="Arial"/>
        </w:rPr>
      </w:pPr>
    </w:p>
    <w:p w14:paraId="3602E781" w14:textId="77777777" w:rsidR="00CE5C37" w:rsidRPr="00CE5C37" w:rsidRDefault="00975472" w:rsidP="00CE5C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 assessment of risk </w:t>
      </w:r>
      <w:proofErr w:type="gramStart"/>
      <w:r>
        <w:rPr>
          <w:rFonts w:ascii="Arial" w:hAnsi="Arial" w:cs="Arial"/>
        </w:rPr>
        <w:t xml:space="preserve">for </w:t>
      </w:r>
      <w:r w:rsidR="008442D1">
        <w:rPr>
          <w:rFonts w:ascii="Arial" w:hAnsi="Arial" w:cs="Arial"/>
        </w:rPr>
        <w:t xml:space="preserve"> </w:t>
      </w:r>
      <w:r w:rsidR="00CE5C37" w:rsidRPr="00CE5C37">
        <w:rPr>
          <w:rFonts w:ascii="Arial" w:hAnsi="Arial" w:cs="Arial"/>
        </w:rPr>
        <w:t>applies</w:t>
      </w:r>
      <w:proofErr w:type="gramEnd"/>
      <w:r w:rsidR="00CE5C37" w:rsidRPr="00CE5C37">
        <w:rPr>
          <w:rFonts w:ascii="Arial" w:hAnsi="Arial" w:cs="Arial"/>
        </w:rPr>
        <w:t xml:space="preserve"> to all </w:t>
      </w:r>
      <w:r w:rsidR="008442D1">
        <w:rPr>
          <w:rFonts w:ascii="Arial" w:hAnsi="Arial" w:cs="Arial"/>
        </w:rPr>
        <w:t>immuno-chemotherapy that</w:t>
      </w:r>
      <w:r>
        <w:rPr>
          <w:rFonts w:ascii="Arial" w:hAnsi="Arial" w:cs="Arial"/>
        </w:rPr>
        <w:t xml:space="preserve"> contain</w:t>
      </w:r>
      <w:r w:rsidR="008442D1">
        <w:rPr>
          <w:rFonts w:ascii="Arial" w:hAnsi="Arial" w:cs="Arial"/>
        </w:rPr>
        <w:t xml:space="preserve"> a steroid dose</w:t>
      </w:r>
      <w:r w:rsidR="00CE5C37" w:rsidRPr="00CE5C37">
        <w:rPr>
          <w:rFonts w:ascii="Arial" w:hAnsi="Arial" w:cs="Arial"/>
        </w:rPr>
        <w:t xml:space="preserve"> equivalent to &gt; 30mg/m2 for more than 3 days</w:t>
      </w:r>
      <w:r w:rsidR="008442D1">
        <w:rPr>
          <w:rFonts w:ascii="Arial" w:hAnsi="Arial" w:cs="Arial"/>
        </w:rPr>
        <w:t xml:space="preserve"> (see appendix 1 for a </w:t>
      </w:r>
      <w:proofErr w:type="spellStart"/>
      <w:r w:rsidR="008442D1">
        <w:rPr>
          <w:rFonts w:ascii="Arial" w:hAnsi="Arial" w:cs="Arial"/>
        </w:rPr>
        <w:t>non exhaustive</w:t>
      </w:r>
      <w:proofErr w:type="spellEnd"/>
      <w:r w:rsidR="008442D1">
        <w:rPr>
          <w:rFonts w:ascii="Arial" w:hAnsi="Arial" w:cs="Arial"/>
        </w:rPr>
        <w:t xml:space="preserve"> list)</w:t>
      </w:r>
      <w:r w:rsidR="00CE5C37" w:rsidRPr="00CE5C37">
        <w:rPr>
          <w:rFonts w:ascii="Arial" w:hAnsi="Arial" w:cs="Arial"/>
        </w:rPr>
        <w:t>.</w:t>
      </w:r>
      <w:r w:rsidRPr="00975472">
        <w:t xml:space="preserve"> </w:t>
      </w:r>
      <w:r>
        <w:rPr>
          <w:rFonts w:ascii="Arial" w:hAnsi="Arial" w:cs="Arial"/>
        </w:rPr>
        <w:t xml:space="preserve">Some non-chemotherapeutic treatments </w:t>
      </w:r>
      <w:proofErr w:type="spellStart"/>
      <w:r w:rsidRPr="00975472">
        <w:rPr>
          <w:rFonts w:ascii="Arial" w:hAnsi="Arial" w:cs="Arial"/>
        </w:rPr>
        <w:t>eg</w:t>
      </w:r>
      <w:proofErr w:type="spellEnd"/>
      <w:r w:rsidRPr="00975472">
        <w:rPr>
          <w:rFonts w:ascii="Arial" w:hAnsi="Arial" w:cs="Arial"/>
        </w:rPr>
        <w:t xml:space="preserve"> bispecific antibodies</w:t>
      </w:r>
      <w:r>
        <w:rPr>
          <w:rFonts w:ascii="Arial" w:hAnsi="Arial" w:cs="Arial"/>
        </w:rPr>
        <w:t>, CAR-T</w:t>
      </w:r>
      <w:r w:rsidRPr="009754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complications of lymphoma such as </w:t>
      </w:r>
      <w:proofErr w:type="spellStart"/>
      <w:r>
        <w:rPr>
          <w:rFonts w:ascii="Arial" w:hAnsi="Arial" w:cs="Arial"/>
        </w:rPr>
        <w:t>ha</w:t>
      </w:r>
      <w:r w:rsidRPr="00975472">
        <w:rPr>
          <w:rFonts w:ascii="Arial" w:hAnsi="Arial" w:cs="Arial"/>
        </w:rPr>
        <w:t>emophagocytic</w:t>
      </w:r>
      <w:proofErr w:type="spellEnd"/>
      <w:r w:rsidRPr="00975472">
        <w:rPr>
          <w:rFonts w:ascii="Arial" w:hAnsi="Arial" w:cs="Arial"/>
        </w:rPr>
        <w:t xml:space="preserve"> </w:t>
      </w:r>
      <w:proofErr w:type="spellStart"/>
      <w:r w:rsidRPr="00975472">
        <w:rPr>
          <w:rFonts w:ascii="Arial" w:hAnsi="Arial" w:cs="Arial"/>
        </w:rPr>
        <w:t>l</w:t>
      </w:r>
      <w:r>
        <w:rPr>
          <w:rFonts w:ascii="Arial" w:hAnsi="Arial" w:cs="Arial"/>
        </w:rPr>
        <w:t>ymphohistiocytosis</w:t>
      </w:r>
      <w:proofErr w:type="spellEnd"/>
      <w:r>
        <w:rPr>
          <w:rFonts w:ascii="Arial" w:hAnsi="Arial" w:cs="Arial"/>
        </w:rPr>
        <w:t xml:space="preserve"> (</w:t>
      </w:r>
      <w:r w:rsidRPr="00975472">
        <w:rPr>
          <w:rFonts w:ascii="Arial" w:hAnsi="Arial" w:cs="Arial"/>
        </w:rPr>
        <w:t>HLH</w:t>
      </w:r>
      <w:r>
        <w:rPr>
          <w:rFonts w:ascii="Arial" w:hAnsi="Arial" w:cs="Arial"/>
        </w:rPr>
        <w:t>) may also result in a high cumulative glucocorticoid dose and should be considered for bisphosphonate prophylaxis.</w:t>
      </w:r>
    </w:p>
    <w:p w14:paraId="28781D9A" w14:textId="77777777" w:rsidR="00CE5C37" w:rsidRPr="00CE5C37" w:rsidRDefault="00CE5C37" w:rsidP="00CE5C37">
      <w:pPr>
        <w:rPr>
          <w:rFonts w:ascii="Arial" w:hAnsi="Arial" w:cs="Arial"/>
        </w:rPr>
      </w:pPr>
    </w:p>
    <w:p w14:paraId="23145957" w14:textId="77777777" w:rsidR="00CE5C37" w:rsidRPr="00CE5C37" w:rsidRDefault="00FB3683" w:rsidP="00CE5C37">
      <w:pPr>
        <w:rPr>
          <w:rFonts w:ascii="Arial" w:hAnsi="Arial" w:cs="Arial"/>
        </w:rPr>
      </w:pPr>
      <w:r>
        <w:rPr>
          <w:rFonts w:ascii="Arial" w:hAnsi="Arial" w:cs="Arial"/>
        </w:rPr>
        <w:t>Major</w:t>
      </w:r>
      <w:r w:rsidR="00975472">
        <w:rPr>
          <w:rFonts w:ascii="Arial" w:hAnsi="Arial" w:cs="Arial"/>
        </w:rPr>
        <w:t xml:space="preserve"> risk factors for </w:t>
      </w:r>
      <w:r w:rsidR="00975472" w:rsidRPr="00975472">
        <w:rPr>
          <w:rFonts w:ascii="Arial" w:hAnsi="Arial" w:cs="Arial"/>
        </w:rPr>
        <w:t>reduced bone mineral density and fractures</w:t>
      </w:r>
      <w:r w:rsidR="00975472">
        <w:rPr>
          <w:rFonts w:ascii="Arial" w:hAnsi="Arial" w:cs="Arial"/>
        </w:rPr>
        <w:t xml:space="preserve"> include</w:t>
      </w:r>
      <w:r w:rsidR="00CE5C37" w:rsidRPr="00CE5C37">
        <w:rPr>
          <w:rFonts w:ascii="Arial" w:hAnsi="Arial" w:cs="Arial"/>
        </w:rPr>
        <w:t>:</w:t>
      </w:r>
    </w:p>
    <w:p w14:paraId="5EB42184" w14:textId="77777777" w:rsidR="00CE5C37" w:rsidRPr="00CE5C37" w:rsidRDefault="00CE5C37" w:rsidP="00CE5C37">
      <w:pPr>
        <w:rPr>
          <w:rFonts w:ascii="Arial" w:hAnsi="Arial" w:cs="Arial"/>
        </w:rPr>
      </w:pPr>
      <w:r w:rsidRPr="00CE5C37">
        <w:rPr>
          <w:rFonts w:ascii="Arial" w:hAnsi="Arial" w:cs="Arial"/>
        </w:rPr>
        <w:t xml:space="preserve"> </w:t>
      </w:r>
    </w:p>
    <w:p w14:paraId="3F76A6A9" w14:textId="77777777" w:rsidR="00CE5C37" w:rsidRPr="00CE5C37" w:rsidRDefault="00CE5C37" w:rsidP="00CE5C37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 xml:space="preserve">Men </w:t>
      </w:r>
      <w:r w:rsidR="008442D1">
        <w:rPr>
          <w:rFonts w:ascii="Arial" w:hAnsi="Arial" w:cs="Arial"/>
        </w:rPr>
        <w:t xml:space="preserve">and women </w:t>
      </w:r>
      <w:r w:rsidRPr="00CE5C37">
        <w:rPr>
          <w:rFonts w:ascii="Arial" w:hAnsi="Arial" w:cs="Arial"/>
        </w:rPr>
        <w:t>age</w:t>
      </w:r>
      <w:r w:rsidR="008442D1">
        <w:rPr>
          <w:rFonts w:ascii="Arial" w:hAnsi="Arial" w:cs="Arial"/>
        </w:rPr>
        <w:t xml:space="preserve">d &gt;50 years </w:t>
      </w:r>
    </w:p>
    <w:p w14:paraId="45E475D7" w14:textId="77777777" w:rsidR="00CE5C37" w:rsidRPr="00CE5C37" w:rsidRDefault="008442D1" w:rsidP="00CE5C37">
      <w:pPr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  <w:t>Prior h</w:t>
      </w:r>
      <w:r w:rsidR="00CE5C37" w:rsidRPr="00CE5C37">
        <w:rPr>
          <w:rFonts w:ascii="Arial" w:hAnsi="Arial" w:cs="Arial"/>
        </w:rPr>
        <w:t>istory of osteopenia/osteoporosis</w:t>
      </w:r>
    </w:p>
    <w:p w14:paraId="688987C7" w14:textId="77777777" w:rsidR="00CE5C37" w:rsidRPr="00CE5C37" w:rsidRDefault="00CE5C37" w:rsidP="00CE5C37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>Bone involvement with lymphoma at risk sites (pelvis, femur, vertebrae)</w:t>
      </w:r>
    </w:p>
    <w:p w14:paraId="7F2AD2DA" w14:textId="77777777" w:rsidR="00CE5C37" w:rsidRPr="00CE5C37" w:rsidRDefault="00CE5C37" w:rsidP="00CE5C37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>Creatinine clearance below 30 ml/min</w:t>
      </w:r>
    </w:p>
    <w:p w14:paraId="28E7F52D" w14:textId="77777777" w:rsidR="00FB3683" w:rsidRDefault="00CE5C37" w:rsidP="00FB3683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>Prolonged or likely prolonged immobility</w:t>
      </w:r>
    </w:p>
    <w:p w14:paraId="65B57C1D" w14:textId="77777777" w:rsidR="00FB3683" w:rsidRDefault="00FB3683" w:rsidP="00FB3683">
      <w:pPr>
        <w:rPr>
          <w:rFonts w:ascii="Arial" w:hAnsi="Arial" w:cs="Arial"/>
        </w:rPr>
      </w:pPr>
      <w:r w:rsidRPr="00FB3683">
        <w:rPr>
          <w:rFonts w:ascii="Arial" w:hAnsi="Arial" w:cs="Arial"/>
        </w:rPr>
        <w:t>•</w:t>
      </w:r>
      <w:r w:rsidRPr="00FB368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Low </w:t>
      </w:r>
      <w:r w:rsidRPr="00FB3683">
        <w:rPr>
          <w:rFonts w:ascii="Arial" w:hAnsi="Arial" w:cs="Arial"/>
        </w:rPr>
        <w:t>body mass index (≤19kg/m2</w:t>
      </w:r>
      <w:r>
        <w:rPr>
          <w:rFonts w:ascii="Arial" w:hAnsi="Arial" w:cs="Arial"/>
        </w:rPr>
        <w:t xml:space="preserve">) </w:t>
      </w:r>
    </w:p>
    <w:p w14:paraId="7E674A49" w14:textId="77777777" w:rsidR="00FB3683" w:rsidRDefault="00FB3683" w:rsidP="00FB3683">
      <w:pPr>
        <w:rPr>
          <w:rFonts w:ascii="Arial" w:hAnsi="Arial" w:cs="Arial"/>
        </w:rPr>
      </w:pPr>
      <w:r w:rsidRPr="00FB3683">
        <w:rPr>
          <w:rFonts w:ascii="Arial" w:hAnsi="Arial" w:cs="Arial"/>
        </w:rPr>
        <w:t>•</w:t>
      </w:r>
      <w:r w:rsidRPr="00FB3683">
        <w:rPr>
          <w:rFonts w:ascii="Arial" w:hAnsi="Arial" w:cs="Arial"/>
        </w:rPr>
        <w:tab/>
      </w:r>
      <w:r>
        <w:rPr>
          <w:rFonts w:ascii="Arial" w:hAnsi="Arial" w:cs="Arial"/>
        </w:rPr>
        <w:t>Excess alcohol intake</w:t>
      </w:r>
    </w:p>
    <w:p w14:paraId="5B99C5FC" w14:textId="77777777" w:rsidR="00FB3683" w:rsidRPr="00CE5C37" w:rsidRDefault="00FB3683" w:rsidP="00FB3683">
      <w:pPr>
        <w:rPr>
          <w:rFonts w:ascii="Arial" w:hAnsi="Arial" w:cs="Arial"/>
        </w:rPr>
      </w:pPr>
      <w:r w:rsidRPr="00FB3683">
        <w:rPr>
          <w:rFonts w:ascii="Arial" w:hAnsi="Arial" w:cs="Arial"/>
        </w:rPr>
        <w:t>•</w:t>
      </w:r>
      <w:r w:rsidRPr="00FB3683">
        <w:rPr>
          <w:rFonts w:ascii="Arial" w:hAnsi="Arial" w:cs="Arial"/>
        </w:rPr>
        <w:tab/>
      </w:r>
      <w:r>
        <w:rPr>
          <w:rFonts w:ascii="Arial" w:hAnsi="Arial" w:cs="Arial"/>
        </w:rPr>
        <w:t>G</w:t>
      </w:r>
      <w:r w:rsidRPr="00FB3683">
        <w:rPr>
          <w:rFonts w:ascii="Arial" w:hAnsi="Arial" w:cs="Arial"/>
        </w:rPr>
        <w:t>astr</w:t>
      </w:r>
      <w:r>
        <w:rPr>
          <w:rFonts w:ascii="Arial" w:hAnsi="Arial" w:cs="Arial"/>
        </w:rPr>
        <w:t xml:space="preserve">ointestinal </w:t>
      </w:r>
      <w:r w:rsidRPr="00FB3683">
        <w:rPr>
          <w:rFonts w:ascii="Arial" w:hAnsi="Arial" w:cs="Arial"/>
        </w:rPr>
        <w:t>malabsorption</w:t>
      </w:r>
      <w:r>
        <w:rPr>
          <w:rFonts w:ascii="Arial" w:hAnsi="Arial" w:cs="Arial"/>
        </w:rPr>
        <w:t xml:space="preserve"> syndromes</w:t>
      </w:r>
    </w:p>
    <w:p w14:paraId="354D2AF1" w14:textId="77777777" w:rsidR="00CE5C37" w:rsidRPr="00CE5C37" w:rsidRDefault="00195AD8" w:rsidP="00CE5C3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C752395" w14:textId="77777777" w:rsidR="00CE5C37" w:rsidRPr="00CE5C37" w:rsidRDefault="00CE5C37" w:rsidP="00CE5C37">
      <w:pPr>
        <w:numPr>
          <w:ilvl w:val="0"/>
          <w:numId w:val="13"/>
        </w:numPr>
        <w:rPr>
          <w:rFonts w:ascii="Arial" w:hAnsi="Arial" w:cs="Arial"/>
          <w:b/>
        </w:rPr>
      </w:pPr>
      <w:r w:rsidRPr="00CE5C37">
        <w:rPr>
          <w:rFonts w:ascii="Arial" w:hAnsi="Arial" w:cs="Arial"/>
          <w:b/>
        </w:rPr>
        <w:lastRenderedPageBreak/>
        <w:t>Indication of prophylaxis</w:t>
      </w:r>
    </w:p>
    <w:p w14:paraId="64E308A2" w14:textId="77777777" w:rsidR="008442D1" w:rsidRDefault="008442D1" w:rsidP="00CE5C37">
      <w:pPr>
        <w:rPr>
          <w:rFonts w:ascii="Arial" w:hAnsi="Arial" w:cs="Arial"/>
        </w:rPr>
      </w:pPr>
    </w:p>
    <w:p w14:paraId="74CF1247" w14:textId="77777777" w:rsidR="00CE5C37" w:rsidRPr="00CE5C37" w:rsidRDefault="00FB3683" w:rsidP="00CE5C37">
      <w:pPr>
        <w:rPr>
          <w:rFonts w:ascii="Arial" w:hAnsi="Arial" w:cs="Arial"/>
        </w:rPr>
      </w:pPr>
      <w:r>
        <w:rPr>
          <w:rFonts w:ascii="Arial" w:hAnsi="Arial" w:cs="Arial"/>
        </w:rPr>
        <w:t>Bisphosphonate p</w:t>
      </w:r>
      <w:r w:rsidR="00CE5C37" w:rsidRPr="00CE5C37">
        <w:rPr>
          <w:rFonts w:ascii="Arial" w:hAnsi="Arial" w:cs="Arial"/>
        </w:rPr>
        <w:t>rophylaxis should be considered for any patie</w:t>
      </w:r>
      <w:r w:rsidR="00020E76">
        <w:rPr>
          <w:rFonts w:ascii="Arial" w:hAnsi="Arial" w:cs="Arial"/>
        </w:rPr>
        <w:t>nt treated with a steroid containing treatment regimen and at least 1 listed risk factor</w:t>
      </w:r>
      <w:r w:rsidR="00CE5C37" w:rsidRPr="00CE5C37">
        <w:rPr>
          <w:rFonts w:ascii="Arial" w:hAnsi="Arial" w:cs="Arial"/>
        </w:rPr>
        <w:t>.</w:t>
      </w:r>
    </w:p>
    <w:p w14:paraId="46FD2F6B" w14:textId="77777777" w:rsidR="00CE5C37" w:rsidRPr="00CE5C37" w:rsidRDefault="00CE5C37" w:rsidP="00CE5C37">
      <w:pPr>
        <w:rPr>
          <w:rFonts w:ascii="Arial" w:hAnsi="Arial" w:cs="Arial"/>
        </w:rPr>
      </w:pPr>
    </w:p>
    <w:p w14:paraId="7A10FEFF" w14:textId="77777777" w:rsidR="00CE5C37" w:rsidRPr="00CE5C37" w:rsidRDefault="00CE5C37" w:rsidP="00CE5C37">
      <w:pPr>
        <w:numPr>
          <w:ilvl w:val="0"/>
          <w:numId w:val="13"/>
        </w:numPr>
        <w:rPr>
          <w:rFonts w:ascii="Arial" w:hAnsi="Arial" w:cs="Arial"/>
          <w:b/>
        </w:rPr>
      </w:pPr>
      <w:r w:rsidRPr="00CE5C37">
        <w:rPr>
          <w:rFonts w:ascii="Arial" w:hAnsi="Arial" w:cs="Arial"/>
          <w:b/>
        </w:rPr>
        <w:t>Initiation of prophylaxis</w:t>
      </w:r>
    </w:p>
    <w:p w14:paraId="791388C0" w14:textId="77777777" w:rsidR="00CE5C37" w:rsidRPr="00CE5C37" w:rsidRDefault="00CE5C37" w:rsidP="00CE5C37">
      <w:pPr>
        <w:rPr>
          <w:rFonts w:ascii="Arial" w:hAnsi="Arial" w:cs="Arial"/>
        </w:rPr>
      </w:pPr>
    </w:p>
    <w:p w14:paraId="7D72215C" w14:textId="77777777" w:rsidR="00CE5C37" w:rsidRPr="00CE5C37" w:rsidRDefault="00CE5C37" w:rsidP="00CE5C37">
      <w:pPr>
        <w:rPr>
          <w:rFonts w:ascii="Arial" w:hAnsi="Arial" w:cs="Arial"/>
        </w:rPr>
      </w:pPr>
      <w:r w:rsidRPr="00CE5C37">
        <w:rPr>
          <w:rFonts w:ascii="Arial" w:hAnsi="Arial" w:cs="Arial"/>
        </w:rPr>
        <w:t xml:space="preserve">Bisphosphonate therapy should be initiated concomitantly with chemoimmunotherapy treatment and </w:t>
      </w:r>
      <w:r w:rsidR="00B86AEB">
        <w:rPr>
          <w:rFonts w:ascii="Arial" w:hAnsi="Arial" w:cs="Arial"/>
        </w:rPr>
        <w:t xml:space="preserve">oral preparations should be </w:t>
      </w:r>
      <w:r w:rsidRPr="00CE5C37">
        <w:rPr>
          <w:rFonts w:ascii="Arial" w:hAnsi="Arial" w:cs="Arial"/>
        </w:rPr>
        <w:t>maintained for a minimum of 6 months after therapy is finished.</w:t>
      </w:r>
    </w:p>
    <w:p w14:paraId="1E76D11E" w14:textId="77777777" w:rsidR="00CE5C37" w:rsidRPr="00CE5C37" w:rsidRDefault="00CE5C37" w:rsidP="00CE5C37">
      <w:pPr>
        <w:rPr>
          <w:rFonts w:ascii="Arial" w:hAnsi="Arial" w:cs="Arial"/>
        </w:rPr>
      </w:pPr>
    </w:p>
    <w:p w14:paraId="4F4127C4" w14:textId="77777777" w:rsidR="00CE5C37" w:rsidRPr="00CE5C37" w:rsidRDefault="00CE5C37" w:rsidP="00CE5C37">
      <w:pPr>
        <w:rPr>
          <w:rFonts w:ascii="Arial" w:hAnsi="Arial" w:cs="Arial"/>
        </w:rPr>
      </w:pPr>
      <w:r w:rsidRPr="00CE5C37">
        <w:rPr>
          <w:rFonts w:ascii="Arial" w:hAnsi="Arial" w:cs="Arial"/>
        </w:rPr>
        <w:t xml:space="preserve">Patients with ongoing bisphosphonate therapy should be assessed with a bone density </w:t>
      </w:r>
      <w:r w:rsidR="00975472">
        <w:rPr>
          <w:rFonts w:ascii="Arial" w:hAnsi="Arial" w:cs="Arial"/>
        </w:rPr>
        <w:t xml:space="preserve">(DEXA) </w:t>
      </w:r>
      <w:r w:rsidRPr="00CE5C37">
        <w:rPr>
          <w:rFonts w:ascii="Arial" w:hAnsi="Arial" w:cs="Arial"/>
        </w:rPr>
        <w:t xml:space="preserve">scan 6 months after completion of chemotherapy treatment. </w:t>
      </w:r>
    </w:p>
    <w:p w14:paraId="119F6911" w14:textId="77777777" w:rsidR="00CE5C37" w:rsidRPr="00CE5C37" w:rsidRDefault="00CE5C37" w:rsidP="00CE5C37">
      <w:pPr>
        <w:rPr>
          <w:rFonts w:ascii="Arial" w:hAnsi="Arial" w:cs="Arial"/>
        </w:rPr>
      </w:pPr>
    </w:p>
    <w:p w14:paraId="2B8E6301" w14:textId="77777777" w:rsidR="00CE5C37" w:rsidRDefault="00CE5C37" w:rsidP="00787A14">
      <w:pPr>
        <w:rPr>
          <w:rFonts w:ascii="Arial" w:hAnsi="Arial" w:cs="Arial"/>
        </w:rPr>
      </w:pPr>
      <w:r w:rsidRPr="00CE5C37">
        <w:rPr>
          <w:rFonts w:ascii="Arial" w:hAnsi="Arial" w:cs="Arial"/>
        </w:rPr>
        <w:t xml:space="preserve">Bisphosphonates should be continued in case of osteopenia and/or osteoporosis, and a referral to the </w:t>
      </w:r>
      <w:r w:rsidR="00787A14" w:rsidRPr="00787A14">
        <w:rPr>
          <w:rFonts w:ascii="Arial" w:hAnsi="Arial" w:cs="Arial"/>
        </w:rPr>
        <w:t>secondary care osteoporosis service</w:t>
      </w:r>
      <w:r w:rsidR="00787A14">
        <w:rPr>
          <w:rFonts w:ascii="Arial" w:hAnsi="Arial" w:cs="Arial"/>
        </w:rPr>
        <w:t xml:space="preserve"> </w:t>
      </w:r>
      <w:r w:rsidRPr="00CE5C37">
        <w:rPr>
          <w:rFonts w:ascii="Arial" w:hAnsi="Arial" w:cs="Arial"/>
        </w:rPr>
        <w:t xml:space="preserve">team should be </w:t>
      </w:r>
      <w:r w:rsidR="00787A14">
        <w:rPr>
          <w:rFonts w:ascii="Arial" w:hAnsi="Arial" w:cs="Arial"/>
        </w:rPr>
        <w:t>made.</w:t>
      </w:r>
    </w:p>
    <w:p w14:paraId="1078EF30" w14:textId="77777777" w:rsidR="00787A14" w:rsidRDefault="00787A14" w:rsidP="00787A14">
      <w:pPr>
        <w:rPr>
          <w:rFonts w:ascii="Arial" w:hAnsi="Arial" w:cs="Arial"/>
        </w:rPr>
      </w:pPr>
    </w:p>
    <w:p w14:paraId="0A7CC567" w14:textId="77777777" w:rsidR="00787A14" w:rsidRDefault="00787A14" w:rsidP="00787A14">
      <w:pPr>
        <w:rPr>
          <w:rFonts w:ascii="Arial" w:hAnsi="Arial" w:cs="Arial"/>
        </w:rPr>
      </w:pPr>
      <w:r w:rsidRPr="00787A14">
        <w:rPr>
          <w:rFonts w:ascii="Arial" w:hAnsi="Arial" w:cs="Arial"/>
        </w:rPr>
        <w:t xml:space="preserve">Ovarian function should also be assessed in women with premature ovarian failure following </w:t>
      </w:r>
      <w:proofErr w:type="spellStart"/>
      <w:r w:rsidRPr="00787A14">
        <w:rPr>
          <w:rFonts w:ascii="Arial" w:hAnsi="Arial" w:cs="Arial"/>
        </w:rPr>
        <w:t>treatmrnt</w:t>
      </w:r>
      <w:proofErr w:type="spellEnd"/>
      <w:r w:rsidRPr="00787A14">
        <w:rPr>
          <w:rFonts w:ascii="Arial" w:hAnsi="Arial" w:cs="Arial"/>
        </w:rPr>
        <w:t xml:space="preserve"> for lymphoma to inform potential use of hormone replacement therapy.</w:t>
      </w:r>
    </w:p>
    <w:p w14:paraId="6FADC666" w14:textId="77777777" w:rsidR="00787A14" w:rsidRPr="00CE5C37" w:rsidRDefault="00787A14" w:rsidP="00787A14">
      <w:pPr>
        <w:rPr>
          <w:rFonts w:ascii="Arial" w:hAnsi="Arial" w:cs="Arial"/>
        </w:rPr>
      </w:pPr>
    </w:p>
    <w:p w14:paraId="78A129EB" w14:textId="77777777" w:rsidR="00CE5C37" w:rsidRPr="00CE5C37" w:rsidRDefault="00CE5C37" w:rsidP="00CE5C37">
      <w:pPr>
        <w:rPr>
          <w:rFonts w:ascii="Arial" w:hAnsi="Arial" w:cs="Arial"/>
        </w:rPr>
      </w:pPr>
    </w:p>
    <w:p w14:paraId="59D207BE" w14:textId="77777777" w:rsidR="00CE5C37" w:rsidRDefault="00CE5C37" w:rsidP="00CE5C37">
      <w:pPr>
        <w:numPr>
          <w:ilvl w:val="0"/>
          <w:numId w:val="13"/>
        </w:numPr>
        <w:rPr>
          <w:rFonts w:ascii="Arial" w:hAnsi="Arial" w:cs="Arial"/>
          <w:b/>
        </w:rPr>
      </w:pPr>
      <w:r w:rsidRPr="00CE5C37">
        <w:rPr>
          <w:rFonts w:ascii="Arial" w:hAnsi="Arial" w:cs="Arial"/>
          <w:b/>
        </w:rPr>
        <w:t>Bisphosphonate agent of choice</w:t>
      </w:r>
    </w:p>
    <w:p w14:paraId="697FE919" w14:textId="77777777" w:rsidR="007209BE" w:rsidRDefault="007209BE" w:rsidP="007209BE">
      <w:pPr>
        <w:rPr>
          <w:rFonts w:ascii="Arial" w:hAnsi="Arial" w:cs="Arial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596"/>
      </w:tblGrid>
      <w:tr w:rsidR="007209BE" w:rsidRPr="007209BE" w14:paraId="785D6C57" w14:textId="77777777" w:rsidTr="007209BE">
        <w:trPr>
          <w:trHeight w:val="455"/>
        </w:trPr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E658E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b/>
                <w:bCs/>
                <w:color w:val="000000"/>
                <w:lang w:eastAsia="en-GB"/>
              </w:rPr>
              <w:t>Agent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AF3FF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b/>
                <w:bCs/>
                <w:color w:val="000000"/>
                <w:lang w:eastAsia="en-GB"/>
              </w:rPr>
              <w:t>Dose</w:t>
            </w:r>
          </w:p>
        </w:tc>
        <w:tc>
          <w:tcPr>
            <w:tcW w:w="3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F3767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b/>
                <w:bCs/>
                <w:color w:val="000000"/>
                <w:lang w:eastAsia="en-GB"/>
              </w:rPr>
              <w:t>Considerations</w:t>
            </w:r>
          </w:p>
        </w:tc>
      </w:tr>
      <w:tr w:rsidR="007209BE" w:rsidRPr="007209BE" w14:paraId="4EF46FFE" w14:textId="77777777" w:rsidTr="007209BE"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449C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Alendronic acid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EEA03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70 mg tablets - once a week</w:t>
            </w:r>
          </w:p>
        </w:tc>
        <w:tc>
          <w:tcPr>
            <w:tcW w:w="359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47106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Dental review required prior to zolendronic acid.</w:t>
            </w:r>
          </w:p>
          <w:p w14:paraId="1330B74B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Consider dose reduction if eGFR 31-50</w:t>
            </w:r>
          </w:p>
        </w:tc>
      </w:tr>
      <w:tr w:rsidR="007209BE" w:rsidRPr="007209BE" w14:paraId="12A7A3C5" w14:textId="77777777" w:rsidTr="007209BE"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94283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Zolendronic acid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949E5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4 mg intravenous - Single dose</w:t>
            </w:r>
          </w:p>
        </w:tc>
        <w:tc>
          <w:tcPr>
            <w:tcW w:w="35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4B9C6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</w:p>
        </w:tc>
      </w:tr>
      <w:tr w:rsidR="007209BE" w:rsidRPr="007209BE" w14:paraId="74104D1A" w14:textId="77777777" w:rsidTr="007209BE"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270F1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Risedronate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3A61E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35 mg tablets – once a week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89B32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If eGFR 20-30ml/min</w:t>
            </w:r>
          </w:p>
          <w:p w14:paraId="17A6C640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 </w:t>
            </w:r>
          </w:p>
        </w:tc>
      </w:tr>
      <w:tr w:rsidR="007209BE" w:rsidRPr="007209BE" w14:paraId="34171CB3" w14:textId="77777777" w:rsidTr="007209BE"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AE611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Denosumab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8EB54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60 mg as a subcutaneous injection – single dose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89E21" w14:textId="77777777" w:rsidR="007209BE" w:rsidRPr="007209BE" w:rsidRDefault="007209BE" w:rsidP="007209BE">
            <w:pPr>
              <w:rPr>
                <w:rFonts w:ascii="Aptos" w:hAnsi="Aptos" w:cs="Aptos"/>
                <w:color w:val="000000"/>
                <w:lang w:eastAsia="en-GB"/>
              </w:rPr>
            </w:pPr>
            <w:r w:rsidRPr="007209BE">
              <w:rPr>
                <w:rFonts w:ascii="Aptos" w:hAnsi="Aptos" w:cs="Aptos"/>
                <w:color w:val="000000"/>
                <w:lang w:eastAsia="en-GB"/>
              </w:rPr>
              <w:t>Consider if eGFR 20-30ml/min. Needs discussion with metabolic bone team.</w:t>
            </w:r>
          </w:p>
        </w:tc>
      </w:tr>
    </w:tbl>
    <w:p w14:paraId="75B4C828" w14:textId="77777777" w:rsidR="007209BE" w:rsidRDefault="007209BE" w:rsidP="007209BE">
      <w:pPr>
        <w:rPr>
          <w:rFonts w:ascii="Arial" w:hAnsi="Arial" w:cs="Arial"/>
          <w:b/>
        </w:rPr>
      </w:pPr>
    </w:p>
    <w:p w14:paraId="336F8B29" w14:textId="77777777" w:rsidR="00B86AEB" w:rsidRDefault="007209BE" w:rsidP="00B86AEB">
      <w:pPr>
        <w:rPr>
          <w:rFonts w:ascii="Arial" w:hAnsi="Arial" w:cs="Arial"/>
        </w:rPr>
      </w:pPr>
      <w:r w:rsidRPr="007209BE">
        <w:rPr>
          <w:rFonts w:ascii="Arial" w:hAnsi="Arial" w:cs="Arial"/>
        </w:rPr>
        <w:t>Consider</w:t>
      </w:r>
      <w:r>
        <w:rPr>
          <w:rFonts w:ascii="Arial" w:hAnsi="Arial" w:cs="Arial"/>
          <w:color w:val="FF0000"/>
        </w:rPr>
        <w:t xml:space="preserve"> </w:t>
      </w:r>
      <w:r w:rsidRPr="007209BE">
        <w:rPr>
          <w:rFonts w:ascii="Arial" w:hAnsi="Arial" w:cs="Arial"/>
        </w:rPr>
        <w:t>i</w:t>
      </w:r>
      <w:r w:rsidR="00B86AEB">
        <w:rPr>
          <w:rFonts w:ascii="Arial" w:hAnsi="Arial" w:cs="Arial"/>
        </w:rPr>
        <w:t>ndividualised</w:t>
      </w:r>
      <w:r w:rsidR="00927D9D">
        <w:rPr>
          <w:rFonts w:ascii="Arial" w:hAnsi="Arial" w:cs="Arial"/>
        </w:rPr>
        <w:t xml:space="preserve"> assessment of the risk of </w:t>
      </w:r>
      <w:r w:rsidR="00B86AEB">
        <w:rPr>
          <w:rFonts w:ascii="Arial" w:hAnsi="Arial" w:cs="Arial"/>
        </w:rPr>
        <w:t>osteonecrosis of the jaw (ONJ)</w:t>
      </w:r>
      <w:r w:rsidR="00CE5C37" w:rsidRPr="00CE5C37">
        <w:rPr>
          <w:rFonts w:ascii="Arial" w:hAnsi="Arial" w:cs="Arial"/>
        </w:rPr>
        <w:t>.</w:t>
      </w:r>
      <w:r w:rsidR="00B86AEB">
        <w:rPr>
          <w:rFonts w:ascii="Arial" w:hAnsi="Arial" w:cs="Arial"/>
        </w:rPr>
        <w:t xml:space="preserve"> </w:t>
      </w:r>
      <w:r w:rsidR="00B86AEB" w:rsidRPr="00787A14">
        <w:rPr>
          <w:rFonts w:ascii="Arial" w:hAnsi="Arial" w:cs="Arial"/>
        </w:rPr>
        <w:t xml:space="preserve">ONJ </w:t>
      </w:r>
      <w:r w:rsidR="00B86AEB">
        <w:rPr>
          <w:rFonts w:ascii="Arial" w:hAnsi="Arial" w:cs="Arial"/>
        </w:rPr>
        <w:t xml:space="preserve">is a </w:t>
      </w:r>
      <w:r w:rsidR="00B86AEB" w:rsidRPr="00787A14">
        <w:rPr>
          <w:rFonts w:ascii="Arial" w:hAnsi="Arial" w:cs="Arial"/>
        </w:rPr>
        <w:t xml:space="preserve">rare </w:t>
      </w:r>
      <w:r w:rsidR="00B86AEB">
        <w:rPr>
          <w:rFonts w:ascii="Arial" w:hAnsi="Arial" w:cs="Arial"/>
        </w:rPr>
        <w:t xml:space="preserve">serious adverse event after bisphosphonate therapy. For </w:t>
      </w:r>
      <w:r w:rsidR="00B86AEB" w:rsidRPr="00C23DE2">
        <w:rPr>
          <w:rFonts w:ascii="Arial" w:hAnsi="Arial" w:cs="Arial"/>
        </w:rPr>
        <w:t>zolendronic acid</w:t>
      </w:r>
      <w:r w:rsidR="00B86AEB" w:rsidRPr="00787A14">
        <w:rPr>
          <w:rFonts w:ascii="Arial" w:hAnsi="Arial" w:cs="Arial"/>
        </w:rPr>
        <w:t>, the incidence of ONJ is approximately 1 in 10 000 to 100 000 patient-years</w:t>
      </w:r>
      <w:r w:rsidR="00B86AEB">
        <w:rPr>
          <w:rFonts w:ascii="Arial" w:hAnsi="Arial" w:cs="Arial"/>
        </w:rPr>
        <w:t>, and dental assessment is</w:t>
      </w:r>
      <w:r w:rsidR="00B86AEB" w:rsidRPr="00787A14">
        <w:rPr>
          <w:rFonts w:ascii="Arial" w:hAnsi="Arial" w:cs="Arial"/>
        </w:rPr>
        <w:t xml:space="preserve"> recommended prior to </w:t>
      </w:r>
      <w:r w:rsidR="00B86AEB">
        <w:rPr>
          <w:rFonts w:ascii="Arial" w:hAnsi="Arial" w:cs="Arial"/>
        </w:rPr>
        <w:t>initiation of therapy. For oral bisphosphonates</w:t>
      </w:r>
      <w:r w:rsidR="00B86AEB" w:rsidRPr="00787A14">
        <w:rPr>
          <w:rFonts w:ascii="Arial" w:hAnsi="Arial" w:cs="Arial"/>
        </w:rPr>
        <w:t xml:space="preserve">, the risk of ONJ </w:t>
      </w:r>
      <w:r w:rsidR="00B86AEB">
        <w:rPr>
          <w:rFonts w:ascii="Arial" w:hAnsi="Arial" w:cs="Arial"/>
        </w:rPr>
        <w:t>known to be less but less well characteris</w:t>
      </w:r>
      <w:r w:rsidR="00B86AEB" w:rsidRPr="00787A14">
        <w:rPr>
          <w:rFonts w:ascii="Arial" w:hAnsi="Arial" w:cs="Arial"/>
        </w:rPr>
        <w:t>ed</w:t>
      </w:r>
      <w:r w:rsidR="00E44AD1">
        <w:rPr>
          <w:rFonts w:ascii="Arial" w:hAnsi="Arial" w:cs="Arial"/>
        </w:rPr>
        <w:t xml:space="preserve"> </w:t>
      </w:r>
      <w:r w:rsidR="00B86AEB">
        <w:rPr>
          <w:rFonts w:ascii="Arial" w:hAnsi="Arial" w:cs="Arial"/>
        </w:rPr>
        <w:t>(2).</w:t>
      </w:r>
    </w:p>
    <w:p w14:paraId="593A7BA2" w14:textId="77777777" w:rsidR="00EC6E54" w:rsidRDefault="00EC6E54" w:rsidP="00CE5C37">
      <w:r w:rsidRPr="00EC6E54">
        <w:t xml:space="preserve"> </w:t>
      </w:r>
    </w:p>
    <w:p w14:paraId="33A5EA97" w14:textId="77777777" w:rsidR="00CE5C37" w:rsidRPr="00EC6E54" w:rsidRDefault="00927D9D" w:rsidP="00CE5C37">
      <w:r>
        <w:rPr>
          <w:rFonts w:ascii="Arial" w:hAnsi="Arial" w:cs="Arial"/>
        </w:rPr>
        <w:t xml:space="preserve">If alendronate is preferred, </w:t>
      </w:r>
      <w:r w:rsidR="00EC6E54" w:rsidRPr="00EC6E54">
        <w:rPr>
          <w:rFonts w:ascii="Arial" w:hAnsi="Arial" w:cs="Arial"/>
        </w:rPr>
        <w:t xml:space="preserve">patients with a history of oesophageal reflux but who are currently asymptomatic consider using </w:t>
      </w:r>
      <w:proofErr w:type="spellStart"/>
      <w:r w:rsidR="00EC6E54" w:rsidRPr="00EC6E54">
        <w:rPr>
          <w:rFonts w:ascii="Arial" w:hAnsi="Arial" w:cs="Arial"/>
        </w:rPr>
        <w:t>Binosto</w:t>
      </w:r>
      <w:proofErr w:type="spellEnd"/>
      <w:r w:rsidR="00EC6E54" w:rsidRPr="00EC6E54">
        <w:rPr>
          <w:rFonts w:ascii="Arial" w:hAnsi="Arial" w:cs="Arial"/>
        </w:rPr>
        <w:t xml:space="preserve"> 70mg per week (Alendronate in solution form). Avoid oral treatment in active gastro-intestinal bleeding; duodenitis; dysphagia; gastritis; history (within 1 year) of ulcers; surgery of the upper gastro-intestinal tract; symptomatic oesophageal disease; ulcers; upper gastro-intestinal disorders or Barrett’s oesophagus under surveillance</w:t>
      </w:r>
      <w:r w:rsidR="00F40D4C">
        <w:rPr>
          <w:rFonts w:ascii="Arial" w:hAnsi="Arial" w:cs="Arial"/>
        </w:rPr>
        <w:t>.</w:t>
      </w:r>
    </w:p>
    <w:p w14:paraId="7F257C8B" w14:textId="77777777" w:rsidR="00787A14" w:rsidRDefault="00787A14" w:rsidP="00CE5C37">
      <w:pPr>
        <w:rPr>
          <w:rFonts w:ascii="Arial" w:hAnsi="Arial" w:cs="Arial"/>
        </w:rPr>
      </w:pPr>
    </w:p>
    <w:p w14:paraId="5C27CA98" w14:textId="77777777" w:rsidR="00EC6E54" w:rsidRDefault="00EC6E54" w:rsidP="00B86AEB">
      <w:pPr>
        <w:rPr>
          <w:rFonts w:ascii="Arial" w:hAnsi="Arial" w:cs="Arial"/>
        </w:rPr>
      </w:pPr>
      <w:r w:rsidRPr="00EC6E54">
        <w:rPr>
          <w:rFonts w:ascii="Arial" w:hAnsi="Arial" w:cs="Arial"/>
        </w:rPr>
        <w:t xml:space="preserve">Dose adjustment guidelines for bisphosphonates in case of renal impairment (&lt;60 ml/min) are available </w:t>
      </w:r>
      <w:r w:rsidR="00927D9D">
        <w:rPr>
          <w:rFonts w:ascii="Arial" w:hAnsi="Arial" w:cs="Arial"/>
        </w:rPr>
        <w:t>within the BNF</w:t>
      </w:r>
      <w:r w:rsidR="00F40D4C">
        <w:rPr>
          <w:rFonts w:ascii="Arial" w:hAnsi="Arial" w:cs="Arial"/>
        </w:rPr>
        <w:t>.</w:t>
      </w:r>
    </w:p>
    <w:p w14:paraId="7D940AD9" w14:textId="77777777" w:rsidR="00EC6E54" w:rsidRDefault="00EC6E54" w:rsidP="00EC6E54">
      <w:pPr>
        <w:rPr>
          <w:rFonts w:ascii="Arial" w:hAnsi="Arial" w:cs="Arial"/>
        </w:rPr>
      </w:pPr>
    </w:p>
    <w:p w14:paraId="33711AAC" w14:textId="77777777" w:rsidR="00787A14" w:rsidRDefault="00787A14" w:rsidP="00CE5C37">
      <w:pPr>
        <w:rPr>
          <w:rFonts w:ascii="Arial" w:hAnsi="Arial" w:cs="Arial"/>
        </w:rPr>
      </w:pPr>
    </w:p>
    <w:p w14:paraId="15190B6F" w14:textId="77777777" w:rsidR="00CE5C37" w:rsidRPr="00CE5C37" w:rsidRDefault="00CE5C37" w:rsidP="00CE5C37">
      <w:pPr>
        <w:numPr>
          <w:ilvl w:val="0"/>
          <w:numId w:val="13"/>
        </w:numPr>
        <w:rPr>
          <w:rFonts w:ascii="Arial" w:hAnsi="Arial" w:cs="Arial"/>
          <w:b/>
        </w:rPr>
      </w:pPr>
      <w:r w:rsidRPr="00CE5C37">
        <w:rPr>
          <w:rFonts w:ascii="Arial" w:hAnsi="Arial" w:cs="Arial"/>
          <w:b/>
        </w:rPr>
        <w:t>Adjunctive treatment</w:t>
      </w:r>
    </w:p>
    <w:p w14:paraId="7CD857B8" w14:textId="77777777" w:rsidR="00CE5C37" w:rsidRPr="00CE5C37" w:rsidRDefault="00CE5C37" w:rsidP="00CE5C37">
      <w:pPr>
        <w:rPr>
          <w:rFonts w:ascii="Arial" w:hAnsi="Arial" w:cs="Arial"/>
        </w:rPr>
      </w:pPr>
    </w:p>
    <w:p w14:paraId="12AA291B" w14:textId="77777777" w:rsidR="00291C42" w:rsidRDefault="00291C42" w:rsidP="00291C42">
      <w:pPr>
        <w:rPr>
          <w:rFonts w:ascii="Arial" w:hAnsi="Arial" w:cs="Arial"/>
        </w:rPr>
      </w:pPr>
      <w:r w:rsidRPr="00291C42">
        <w:rPr>
          <w:rFonts w:ascii="Arial" w:hAnsi="Arial" w:cs="Arial"/>
        </w:rPr>
        <w:t>All patients who begin bisphosph</w:t>
      </w:r>
      <w:r>
        <w:rPr>
          <w:rFonts w:ascii="Arial" w:hAnsi="Arial" w:cs="Arial"/>
        </w:rPr>
        <w:t>onate therapy must also receive</w:t>
      </w:r>
      <w:r w:rsidRPr="00291C42">
        <w:rPr>
          <w:rFonts w:ascii="Arial" w:hAnsi="Arial" w:cs="Arial"/>
        </w:rPr>
        <w:t xml:space="preserve"> Vitamin D supplementation</w:t>
      </w:r>
      <w:r>
        <w:rPr>
          <w:rFonts w:ascii="Arial" w:hAnsi="Arial" w:cs="Arial"/>
        </w:rPr>
        <w:t>.</w:t>
      </w:r>
      <w:r w:rsidRPr="00291C42">
        <w:rPr>
          <w:rFonts w:ascii="Arial" w:hAnsi="Arial" w:cs="Arial"/>
        </w:rPr>
        <w:t xml:space="preserve"> When co-prescribing vitamin D supplements with an oral </w:t>
      </w:r>
      <w:r>
        <w:rPr>
          <w:rFonts w:ascii="Arial" w:hAnsi="Arial" w:cs="Arial"/>
        </w:rPr>
        <w:t xml:space="preserve">bisphosphonate, </w:t>
      </w:r>
      <w:r w:rsidRPr="00291C42">
        <w:rPr>
          <w:rFonts w:ascii="Arial" w:hAnsi="Arial" w:cs="Arial"/>
        </w:rPr>
        <w:t xml:space="preserve">maintenance therapy may be started without the use of loading doses. </w:t>
      </w:r>
    </w:p>
    <w:p w14:paraId="24F79CA5" w14:textId="77777777" w:rsidR="00291C42" w:rsidRDefault="00291C42" w:rsidP="00291C42">
      <w:pPr>
        <w:rPr>
          <w:rFonts w:ascii="Arial" w:hAnsi="Arial" w:cs="Arial"/>
        </w:rPr>
      </w:pPr>
    </w:p>
    <w:p w14:paraId="4A412362" w14:textId="77777777" w:rsidR="00291C42" w:rsidRDefault="00291C42" w:rsidP="00291C42">
      <w:pPr>
        <w:rPr>
          <w:rFonts w:ascii="Arial" w:hAnsi="Arial" w:cs="Arial"/>
        </w:rPr>
      </w:pPr>
      <w:r w:rsidRPr="00291C42">
        <w:rPr>
          <w:rFonts w:ascii="Arial" w:hAnsi="Arial" w:cs="Arial"/>
        </w:rPr>
        <w:t>For patients about to start a parenteral anti-resorptive agent (i</w:t>
      </w:r>
      <w:r>
        <w:rPr>
          <w:rFonts w:ascii="Arial" w:hAnsi="Arial" w:cs="Arial"/>
        </w:rPr>
        <w:t>.e. zoledronic acid</w:t>
      </w:r>
      <w:r w:rsidRPr="00291C42">
        <w:rPr>
          <w:rFonts w:ascii="Arial" w:hAnsi="Arial" w:cs="Arial"/>
        </w:rPr>
        <w:t xml:space="preserve">), rapid correction of vitamin D deficiency may be required. Consider prescribing a treatment loading regimen if the vitamin D level is below 50nmol/L, followed by regular maintenance doses. </w:t>
      </w:r>
    </w:p>
    <w:p w14:paraId="3FF73E58" w14:textId="77777777" w:rsidR="00291C42" w:rsidRDefault="00291C42" w:rsidP="00291C42">
      <w:pPr>
        <w:rPr>
          <w:rFonts w:ascii="Arial" w:hAnsi="Arial" w:cs="Arial"/>
        </w:rPr>
      </w:pPr>
    </w:p>
    <w:p w14:paraId="0B1F8459" w14:textId="77777777" w:rsidR="00291C42" w:rsidRDefault="00291C42" w:rsidP="00291C42">
      <w:pPr>
        <w:rPr>
          <w:rFonts w:ascii="Arial" w:hAnsi="Arial" w:cs="Arial"/>
          <w:color w:val="7030A0"/>
        </w:rPr>
      </w:pPr>
      <w:r>
        <w:rPr>
          <w:rFonts w:ascii="Arial" w:hAnsi="Arial" w:cs="Arial"/>
        </w:rPr>
        <w:t xml:space="preserve">Cholecalciferol 1000iu is the </w:t>
      </w:r>
      <w:proofErr w:type="spellStart"/>
      <w:r>
        <w:rPr>
          <w:rFonts w:ascii="Arial" w:hAnsi="Arial" w:cs="Arial"/>
        </w:rPr>
        <w:t>recomended</w:t>
      </w:r>
      <w:proofErr w:type="spellEnd"/>
      <w:r>
        <w:rPr>
          <w:rFonts w:ascii="Arial" w:hAnsi="Arial" w:cs="Arial"/>
        </w:rPr>
        <w:t xml:space="preserve"> option.</w:t>
      </w:r>
      <w:r w:rsidRPr="00291C42">
        <w:t xml:space="preserve"> </w:t>
      </w:r>
      <w:r w:rsidR="00195AD8">
        <w:rPr>
          <w:rFonts w:ascii="Arial" w:hAnsi="Arial" w:cs="Arial"/>
        </w:rPr>
        <w:t>See the Nottinghamshire vitamin D management in</w:t>
      </w:r>
      <w:r w:rsidR="00195AD8" w:rsidRPr="00F40D4C">
        <w:rPr>
          <w:rFonts w:ascii="Arial" w:hAnsi="Arial" w:cs="Arial"/>
          <w:color w:val="7030A0"/>
        </w:rPr>
        <w:t xml:space="preserve"> </w:t>
      </w:r>
      <w:r w:rsidR="00195AD8" w:rsidRPr="005A6939">
        <w:rPr>
          <w:rFonts w:ascii="Arial" w:hAnsi="Arial" w:cs="Arial"/>
        </w:rPr>
        <w:t>a</w:t>
      </w:r>
      <w:r w:rsidRPr="005A6939">
        <w:rPr>
          <w:rFonts w:ascii="Arial" w:hAnsi="Arial" w:cs="Arial"/>
        </w:rPr>
        <w:t>dults</w:t>
      </w:r>
      <w:r w:rsidR="00195AD8" w:rsidRPr="00F40D4C">
        <w:rPr>
          <w:rFonts w:ascii="Arial" w:hAnsi="Arial" w:cs="Arial"/>
          <w:color w:val="7030A0"/>
        </w:rPr>
        <w:t>:</w:t>
      </w:r>
    </w:p>
    <w:p w14:paraId="5324FDA8" w14:textId="77777777" w:rsidR="005A6939" w:rsidRDefault="005A6939" w:rsidP="00291C42">
      <w:pPr>
        <w:rPr>
          <w:rFonts w:ascii="Arial" w:hAnsi="Arial" w:cs="Arial"/>
          <w:color w:val="7030A0"/>
        </w:rPr>
      </w:pPr>
    </w:p>
    <w:p w14:paraId="4D240021" w14:textId="77777777" w:rsidR="005A6939" w:rsidRPr="005A6939" w:rsidRDefault="005A6939" w:rsidP="00291C42">
      <w:pPr>
        <w:rPr>
          <w:rFonts w:ascii="Arial" w:hAnsi="Arial" w:cs="Arial"/>
          <w:color w:val="2447F4"/>
        </w:rPr>
      </w:pPr>
      <w:hyperlink r:id="rId10" w:history="1">
        <w:r w:rsidRPr="005A6939">
          <w:rPr>
            <w:rStyle w:val="Hyperlink"/>
            <w:rFonts w:ascii="Arial" w:hAnsi="Arial"/>
            <w:color w:val="2447F4"/>
          </w:rPr>
          <w:t>https://www.nottsapc.nhs.uk/media/mmnbgqpv/vitamin-d-guidelines-adults.pdf</w:t>
        </w:r>
      </w:hyperlink>
      <w:r w:rsidRPr="005A6939">
        <w:rPr>
          <w:rFonts w:ascii="Arial" w:hAnsi="Arial" w:cs="Arial"/>
          <w:color w:val="2447F4"/>
        </w:rPr>
        <w:t xml:space="preserve">  </w:t>
      </w:r>
    </w:p>
    <w:p w14:paraId="7925D39E" w14:textId="77777777" w:rsidR="00291C42" w:rsidRDefault="00291C42" w:rsidP="00CE5C37">
      <w:pPr>
        <w:rPr>
          <w:rFonts w:ascii="Arial" w:hAnsi="Arial" w:cs="Arial"/>
        </w:rPr>
      </w:pPr>
    </w:p>
    <w:p w14:paraId="3B34483D" w14:textId="77777777" w:rsidR="00291C42" w:rsidRDefault="00291C42" w:rsidP="00291C42">
      <w:pPr>
        <w:rPr>
          <w:rFonts w:ascii="Arial" w:hAnsi="Arial" w:cs="Arial"/>
        </w:rPr>
      </w:pPr>
      <w:r w:rsidRPr="00291C42">
        <w:rPr>
          <w:rFonts w:ascii="Arial" w:hAnsi="Arial" w:cs="Arial"/>
        </w:rPr>
        <w:t>Calcium supplements are only necessary i</w:t>
      </w:r>
      <w:r w:rsidR="00195AD8">
        <w:rPr>
          <w:rFonts w:ascii="Arial" w:hAnsi="Arial" w:cs="Arial"/>
        </w:rPr>
        <w:t>f dietary intake is not normal. See the calcium calculator:</w:t>
      </w:r>
    </w:p>
    <w:p w14:paraId="5FC41F1B" w14:textId="77777777" w:rsidR="00291C42" w:rsidRDefault="00291C42" w:rsidP="00291C42">
      <w:pPr>
        <w:rPr>
          <w:rFonts w:ascii="Arial" w:hAnsi="Arial" w:cs="Arial"/>
        </w:rPr>
      </w:pPr>
    </w:p>
    <w:p w14:paraId="01EA2B93" w14:textId="77777777" w:rsidR="00291C42" w:rsidRPr="005A6939" w:rsidRDefault="00291C42" w:rsidP="00291C42">
      <w:pPr>
        <w:rPr>
          <w:rFonts w:ascii="Arial" w:hAnsi="Arial" w:cs="Arial"/>
          <w:color w:val="2447F4"/>
        </w:rPr>
      </w:pPr>
      <w:hyperlink r:id="rId11" w:history="1">
        <w:r w:rsidRPr="005A6939">
          <w:rPr>
            <w:rStyle w:val="Hyperlink"/>
            <w:rFonts w:ascii="Arial" w:hAnsi="Arial"/>
            <w:color w:val="2447F4"/>
          </w:rPr>
          <w:t>CALCIUM - Calcium Calculator | International Osteoporosis Foundation</w:t>
        </w:r>
      </w:hyperlink>
    </w:p>
    <w:p w14:paraId="0F9654F0" w14:textId="77777777" w:rsidR="00291C42" w:rsidRDefault="00291C42" w:rsidP="00291C42">
      <w:pPr>
        <w:rPr>
          <w:rFonts w:ascii="Arial" w:hAnsi="Arial" w:cs="Arial"/>
        </w:rPr>
      </w:pPr>
    </w:p>
    <w:p w14:paraId="154526F3" w14:textId="77777777" w:rsidR="00291C42" w:rsidRDefault="00195AD8" w:rsidP="00291C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Co-administration of vitamin D and </w:t>
      </w:r>
      <w:proofErr w:type="spellStart"/>
      <w:r>
        <w:rPr>
          <w:rFonts w:ascii="Arial" w:hAnsi="Arial" w:cs="Arial"/>
        </w:rPr>
        <w:t>calcum</w:t>
      </w:r>
      <w:proofErr w:type="spellEnd"/>
      <w:r>
        <w:rPr>
          <w:rFonts w:ascii="Arial" w:hAnsi="Arial" w:cs="Arial"/>
        </w:rPr>
        <w:t xml:space="preserve"> is required, then </w:t>
      </w:r>
      <w:r w:rsidR="00291C42" w:rsidRPr="00291C42">
        <w:rPr>
          <w:rFonts w:ascii="Arial" w:hAnsi="Arial" w:cs="Arial"/>
        </w:rPr>
        <w:t xml:space="preserve">Adcal-D3 </w:t>
      </w:r>
      <w:r>
        <w:rPr>
          <w:rFonts w:ascii="Arial" w:hAnsi="Arial" w:cs="Arial"/>
        </w:rPr>
        <w:t>chewable</w:t>
      </w:r>
      <w:r w:rsidR="00291C42" w:rsidRPr="00291C42">
        <w:rPr>
          <w:rFonts w:ascii="Arial" w:hAnsi="Arial" w:cs="Arial"/>
        </w:rPr>
        <w:t xml:space="preserve"> tablet</w:t>
      </w:r>
      <w:r>
        <w:rPr>
          <w:rFonts w:ascii="Arial" w:hAnsi="Arial" w:cs="Arial"/>
        </w:rPr>
        <w:t>s, 1</w:t>
      </w:r>
      <w:r w:rsidR="00291C42" w:rsidRPr="00291C42">
        <w:rPr>
          <w:rFonts w:ascii="Arial" w:hAnsi="Arial" w:cs="Arial"/>
        </w:rPr>
        <w:t xml:space="preserve"> twice daily</w:t>
      </w:r>
      <w:r>
        <w:rPr>
          <w:rFonts w:ascii="Arial" w:hAnsi="Arial" w:cs="Arial"/>
        </w:rPr>
        <w:t xml:space="preserve"> </w:t>
      </w:r>
      <w:r w:rsidRPr="00195AD8">
        <w:rPr>
          <w:rFonts w:ascii="Arial" w:hAnsi="Arial" w:cs="Arial"/>
        </w:rPr>
        <w:t xml:space="preserve">is the </w:t>
      </w:r>
      <w:proofErr w:type="spellStart"/>
      <w:r w:rsidRPr="00195AD8">
        <w:rPr>
          <w:rFonts w:ascii="Arial" w:hAnsi="Arial" w:cs="Arial"/>
        </w:rPr>
        <w:t>recomended</w:t>
      </w:r>
      <w:proofErr w:type="spellEnd"/>
      <w:r w:rsidRPr="00195AD8">
        <w:rPr>
          <w:rFonts w:ascii="Arial" w:hAnsi="Arial" w:cs="Arial"/>
        </w:rPr>
        <w:t xml:space="preserve"> option</w:t>
      </w:r>
      <w:r w:rsidR="00291C42" w:rsidRPr="00291C42">
        <w:rPr>
          <w:rFonts w:ascii="Arial" w:hAnsi="Arial" w:cs="Arial"/>
        </w:rPr>
        <w:t>.</w:t>
      </w:r>
    </w:p>
    <w:p w14:paraId="18F405C2" w14:textId="77777777" w:rsidR="00291C42" w:rsidRPr="00CE5C37" w:rsidRDefault="00291C42" w:rsidP="00CE5C37">
      <w:pPr>
        <w:rPr>
          <w:rFonts w:ascii="Arial" w:hAnsi="Arial" w:cs="Arial"/>
        </w:rPr>
      </w:pPr>
    </w:p>
    <w:p w14:paraId="648D8FE8" w14:textId="77777777" w:rsidR="00B92C7E" w:rsidRDefault="006C3229" w:rsidP="005A6939">
      <w:pPr>
        <w:rPr>
          <w:rFonts w:ascii="Arial" w:hAnsi="Arial" w:cs="Arial"/>
          <w:b/>
        </w:rPr>
      </w:pPr>
      <w:r>
        <w:rPr>
          <w:rFonts w:ascii="Arial" w:hAnsi="Arial" w:cs="Arial"/>
          <w:b/>
          <w:color w:val="FF0000"/>
        </w:rPr>
        <w:br w:type="page"/>
      </w:r>
      <w:r w:rsidR="00B92C7E" w:rsidRPr="006C3229">
        <w:rPr>
          <w:rFonts w:ascii="Arial" w:hAnsi="Arial" w:cs="Arial"/>
          <w:b/>
        </w:rPr>
        <w:lastRenderedPageBreak/>
        <w:t>References</w:t>
      </w:r>
    </w:p>
    <w:p w14:paraId="25D6AC79" w14:textId="77777777" w:rsidR="00595D21" w:rsidRDefault="00595D21" w:rsidP="00CE5C37">
      <w:pPr>
        <w:rPr>
          <w:rFonts w:ascii="Arial" w:hAnsi="Arial" w:cs="Arial"/>
          <w:b/>
        </w:rPr>
      </w:pPr>
    </w:p>
    <w:p w14:paraId="37A354BB" w14:textId="77777777" w:rsidR="00595D21" w:rsidRDefault="00595D21" w:rsidP="00CE5C37">
      <w:pPr>
        <w:rPr>
          <w:rFonts w:ascii="Arial" w:hAnsi="Arial" w:cs="Arial"/>
        </w:rPr>
      </w:pPr>
      <w:r w:rsidRPr="00595D21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Pr="00595D21">
        <w:rPr>
          <w:rFonts w:ascii="Arial" w:hAnsi="Arial" w:cs="Arial"/>
        </w:rPr>
        <w:t xml:space="preserve">Maurer MJ, </w:t>
      </w:r>
      <w:proofErr w:type="spellStart"/>
      <w:r w:rsidRPr="00595D21">
        <w:rPr>
          <w:rFonts w:ascii="Arial" w:hAnsi="Arial" w:cs="Arial"/>
        </w:rPr>
        <w:t>Ghesquieres</w:t>
      </w:r>
      <w:proofErr w:type="spellEnd"/>
      <w:r w:rsidRPr="00595D21">
        <w:rPr>
          <w:rFonts w:ascii="Arial" w:hAnsi="Arial" w:cs="Arial"/>
        </w:rPr>
        <w:t xml:space="preserve"> H, Jais JP, Witzig TE, </w:t>
      </w:r>
      <w:proofErr w:type="spellStart"/>
      <w:r w:rsidRPr="00595D21">
        <w:rPr>
          <w:rFonts w:ascii="Arial" w:hAnsi="Arial" w:cs="Arial"/>
        </w:rPr>
        <w:t>Haioun</w:t>
      </w:r>
      <w:proofErr w:type="spellEnd"/>
      <w:r w:rsidRPr="00595D21">
        <w:rPr>
          <w:rFonts w:ascii="Arial" w:hAnsi="Arial" w:cs="Arial"/>
        </w:rPr>
        <w:t xml:space="preserve"> C, Thompson CA, et al. Event-free survival at 24 months is a robust end point for disease-related outcome in diffuse large B-cell lymphoma treated with immunochemotherapy. J Clin Oncol. 2014; 32(10): 1066–73.</w:t>
      </w:r>
    </w:p>
    <w:p w14:paraId="0FF65B4F" w14:textId="77777777" w:rsidR="00A14B14" w:rsidRDefault="00A14B14" w:rsidP="00CE5C37">
      <w:pPr>
        <w:rPr>
          <w:rFonts w:ascii="Arial" w:hAnsi="Arial" w:cs="Arial"/>
        </w:rPr>
      </w:pPr>
    </w:p>
    <w:p w14:paraId="7919A336" w14:textId="77777777" w:rsidR="00A14B14" w:rsidRDefault="00A14B14" w:rsidP="00CE5C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A14B14">
        <w:rPr>
          <w:rFonts w:ascii="Arial" w:hAnsi="Arial" w:cs="Arial"/>
        </w:rPr>
        <w:t xml:space="preserve">Buckley L, Guyatt G, Fink HA, Cannon M, Grossman J, Hansen KE, et al. 2017 American College of Rheumatology Guideline for the Prevention and Treatment of Glucocorticoid-Induced Osteoporosis. Arthritis </w:t>
      </w:r>
      <w:proofErr w:type="spellStart"/>
      <w:r w:rsidRPr="00A14B14">
        <w:rPr>
          <w:rFonts w:ascii="Arial" w:hAnsi="Arial" w:cs="Arial"/>
        </w:rPr>
        <w:t>Rheumatol</w:t>
      </w:r>
      <w:proofErr w:type="spellEnd"/>
      <w:r w:rsidRPr="00A14B14">
        <w:rPr>
          <w:rFonts w:ascii="Arial" w:hAnsi="Arial" w:cs="Arial"/>
        </w:rPr>
        <w:t xml:space="preserve"> (Hoboken, NJ). 2017; 69(8): 1521–37.</w:t>
      </w:r>
    </w:p>
    <w:p w14:paraId="679753B0" w14:textId="77777777" w:rsidR="00A14B14" w:rsidRDefault="00A14B14" w:rsidP="00CE5C37">
      <w:pPr>
        <w:rPr>
          <w:rFonts w:ascii="Arial" w:hAnsi="Arial" w:cs="Arial"/>
        </w:rPr>
      </w:pPr>
    </w:p>
    <w:p w14:paraId="3372778E" w14:textId="77777777" w:rsidR="00A14B14" w:rsidRDefault="00A14B14" w:rsidP="00CE5C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A14B14">
        <w:rPr>
          <w:rFonts w:ascii="Arial" w:hAnsi="Arial" w:cs="Arial"/>
        </w:rPr>
        <w:t>Khosla S. Minireview: the OPG/RANKL/RANK system. Endocrinology. 2001; 142(12): 5050–5.</w:t>
      </w:r>
    </w:p>
    <w:p w14:paraId="49615CA6" w14:textId="77777777" w:rsidR="00A14B14" w:rsidRDefault="00A14B14" w:rsidP="00CE5C37">
      <w:pPr>
        <w:rPr>
          <w:rFonts w:ascii="Arial" w:hAnsi="Arial" w:cs="Arial"/>
        </w:rPr>
      </w:pPr>
    </w:p>
    <w:p w14:paraId="372C32E2" w14:textId="77777777" w:rsidR="00A14B14" w:rsidRPr="00A14B14" w:rsidRDefault="00A14B14" w:rsidP="00A14B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A14B14">
        <w:rPr>
          <w:rFonts w:ascii="Arial" w:hAnsi="Arial" w:cs="Arial"/>
        </w:rPr>
        <w:t xml:space="preserve">RFJM L, PLCM VR, de Putte LBA V, LJTO VE, Van't Hof MA, JAM L. Low-dose prednisone induces rapid reversible axial bone loss in patients with rheumatoid arthritis. A randomized, controlled study. Ann Intern Med. 1993; 119(10): 963–8. </w:t>
      </w:r>
    </w:p>
    <w:p w14:paraId="35A8D521" w14:textId="77777777" w:rsidR="00A14B14" w:rsidRPr="00A14B14" w:rsidRDefault="00A14B14" w:rsidP="00A14B14">
      <w:pPr>
        <w:rPr>
          <w:rFonts w:ascii="Arial" w:hAnsi="Arial" w:cs="Arial"/>
        </w:rPr>
      </w:pPr>
    </w:p>
    <w:p w14:paraId="29052257" w14:textId="77777777" w:rsidR="00A14B14" w:rsidRPr="00A14B14" w:rsidRDefault="00A14B14" w:rsidP="00A14B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A14B14">
        <w:rPr>
          <w:rFonts w:ascii="Arial" w:hAnsi="Arial" w:cs="Arial"/>
        </w:rPr>
        <w:t xml:space="preserve">Kim H, Yoo S, Park SG. Young cancer survivors have lower bone mineral density compared with healthy controls: a nationwide population-based study in Korea. Sci Rep. 2020; 10(1): 654. </w:t>
      </w:r>
    </w:p>
    <w:p w14:paraId="450324CB" w14:textId="77777777" w:rsidR="00A14B14" w:rsidRPr="00A14B14" w:rsidRDefault="00A14B14" w:rsidP="00A14B14">
      <w:pPr>
        <w:rPr>
          <w:rFonts w:ascii="Arial" w:hAnsi="Arial" w:cs="Arial"/>
        </w:rPr>
      </w:pPr>
    </w:p>
    <w:p w14:paraId="24A75AA3" w14:textId="77777777" w:rsidR="00A14B14" w:rsidRDefault="00A14B14" w:rsidP="00A14B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A14B14">
        <w:rPr>
          <w:rFonts w:ascii="Arial" w:hAnsi="Arial" w:cs="Arial"/>
        </w:rPr>
        <w:t>Cameron DA, Douglas S, Brown JE, Anderson RA. Bone mineral density loss during adjuvant chemotherapy in pre-menopausal women with early breast cancer: is it dependent on oestrogen deficiency? Breast Cancer Res Treat. 2010; 123(3): 805–14.</w:t>
      </w:r>
    </w:p>
    <w:p w14:paraId="434CDF5B" w14:textId="77777777" w:rsidR="00A14B14" w:rsidRDefault="00A14B14" w:rsidP="00A14B14">
      <w:pPr>
        <w:rPr>
          <w:rFonts w:ascii="Arial" w:hAnsi="Arial" w:cs="Arial"/>
        </w:rPr>
      </w:pPr>
    </w:p>
    <w:p w14:paraId="77216C1D" w14:textId="77777777" w:rsidR="00A14B14" w:rsidRPr="00A14B14" w:rsidRDefault="00A14B14" w:rsidP="00A14B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A14B14">
        <w:rPr>
          <w:rFonts w:ascii="Arial" w:hAnsi="Arial" w:cs="Arial"/>
        </w:rPr>
        <w:t xml:space="preserve">Cabanillas ME, Lu H, Fang S, Du XL. Elderly patients with non-Hodgkin lymphoma who receive chemotherapy are at higher risk for osteoporosis and fractures. Leuk Lymphoma. 2007; 48(8): 1514–21. </w:t>
      </w:r>
    </w:p>
    <w:p w14:paraId="583D8E5E" w14:textId="77777777" w:rsidR="00A14B14" w:rsidRPr="00A14B14" w:rsidRDefault="00A14B14" w:rsidP="00A14B14">
      <w:pPr>
        <w:rPr>
          <w:rFonts w:ascii="Arial" w:hAnsi="Arial" w:cs="Arial"/>
        </w:rPr>
      </w:pPr>
    </w:p>
    <w:p w14:paraId="4C8B9379" w14:textId="77777777" w:rsidR="00A14B14" w:rsidRDefault="00A14B14" w:rsidP="00A14B14">
      <w:pPr>
        <w:rPr>
          <w:rFonts w:ascii="Arial" w:hAnsi="Arial" w:cs="Arial"/>
        </w:rPr>
      </w:pPr>
      <w:r w:rsidRPr="00A14B1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proofErr w:type="spellStart"/>
      <w:r w:rsidRPr="00A14B14">
        <w:rPr>
          <w:rFonts w:ascii="Arial" w:hAnsi="Arial" w:cs="Arial"/>
        </w:rPr>
        <w:t>Baech</w:t>
      </w:r>
      <w:proofErr w:type="spellEnd"/>
      <w:r w:rsidRPr="00A14B14">
        <w:rPr>
          <w:rFonts w:ascii="Arial" w:hAnsi="Arial" w:cs="Arial"/>
        </w:rPr>
        <w:t xml:space="preserve"> J, Hansen SM, Jakobsen LH, Øvlisen AK, Severinsen MT, Brown PN, et al. Increased risk of osteoporosis following commonly used first-line treatments for lymphoma: a Danish Nationwide Cohort Study. Leuk Lymphoma. 2020; 61(6): 1345–54.</w:t>
      </w:r>
    </w:p>
    <w:p w14:paraId="21A5754E" w14:textId="77777777" w:rsidR="00A14B14" w:rsidRDefault="00A14B14" w:rsidP="00A14B14">
      <w:pPr>
        <w:rPr>
          <w:rFonts w:ascii="Arial" w:hAnsi="Arial" w:cs="Arial"/>
        </w:rPr>
      </w:pPr>
    </w:p>
    <w:p w14:paraId="6391FDD6" w14:textId="77777777" w:rsidR="003C1FA4" w:rsidRDefault="00A14B14" w:rsidP="00A14B14">
      <w:pPr>
        <w:rPr>
          <w:rFonts w:ascii="Arial" w:hAnsi="Arial" w:cs="Arial"/>
        </w:rPr>
      </w:pPr>
      <w:r w:rsidRPr="00A14B14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Pr="00A14B14">
        <w:rPr>
          <w:rFonts w:ascii="Arial" w:hAnsi="Arial" w:cs="Arial"/>
        </w:rPr>
        <w:t xml:space="preserve">Booth S, </w:t>
      </w:r>
      <w:proofErr w:type="spellStart"/>
      <w:r w:rsidRPr="00A14B14">
        <w:rPr>
          <w:rFonts w:ascii="Arial" w:hAnsi="Arial" w:cs="Arial"/>
        </w:rPr>
        <w:t>Plaschkes</w:t>
      </w:r>
      <w:proofErr w:type="spellEnd"/>
      <w:r w:rsidRPr="00A14B14">
        <w:rPr>
          <w:rFonts w:ascii="Arial" w:hAnsi="Arial" w:cs="Arial"/>
        </w:rPr>
        <w:t xml:space="preserve"> H, Kirkwood AA, Gibb A, Horgan P, Higham C, et al. Fractures are common within 18 months following first-line R-CHOP in older patients with diffuse large B-cell lymphoma. Blood Adv. 2020; 4(18): 4337–46.</w:t>
      </w:r>
    </w:p>
    <w:p w14:paraId="72C3E609" w14:textId="77777777" w:rsidR="003C1FA4" w:rsidRPr="00595D21" w:rsidRDefault="003C1FA4" w:rsidP="00A14B14">
      <w:pPr>
        <w:rPr>
          <w:rFonts w:ascii="Arial" w:hAnsi="Arial" w:cs="Arial"/>
        </w:rPr>
      </w:pPr>
    </w:p>
    <w:p w14:paraId="605CEBAB" w14:textId="77777777" w:rsidR="003C1FA4" w:rsidRPr="003C1FA4" w:rsidRDefault="003C1FA4" w:rsidP="003C1F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Pr="003C1FA4">
        <w:rPr>
          <w:rFonts w:ascii="Arial" w:hAnsi="Arial" w:cs="Arial"/>
        </w:rPr>
        <w:t xml:space="preserve">Longo DL, Devita VT, Duffey PL, Wesley MN, Ihde DC, Hubbard SM, et al. Superiority of </w:t>
      </w:r>
      <w:proofErr w:type="spellStart"/>
      <w:r w:rsidRPr="003C1FA4">
        <w:rPr>
          <w:rFonts w:ascii="Arial" w:hAnsi="Arial" w:cs="Arial"/>
        </w:rPr>
        <w:t>ProMACE-CytaBOM</w:t>
      </w:r>
      <w:proofErr w:type="spellEnd"/>
      <w:r w:rsidRPr="003C1FA4">
        <w:rPr>
          <w:rFonts w:ascii="Arial" w:hAnsi="Arial" w:cs="Arial"/>
        </w:rPr>
        <w:t xml:space="preserve"> over </w:t>
      </w:r>
      <w:proofErr w:type="spellStart"/>
      <w:r w:rsidRPr="003C1FA4">
        <w:rPr>
          <w:rFonts w:ascii="Arial" w:hAnsi="Arial" w:cs="Arial"/>
        </w:rPr>
        <w:t>ProMACE</w:t>
      </w:r>
      <w:proofErr w:type="spellEnd"/>
      <w:r w:rsidRPr="003C1FA4">
        <w:rPr>
          <w:rFonts w:ascii="Arial" w:hAnsi="Arial" w:cs="Arial"/>
        </w:rPr>
        <w:t xml:space="preserve">-MOPP in the treatment of advanced diffuse aggressive lymphoma: results of a prospective randomized trial. J Clin Oncol. 1991; 9(1): 25–38. </w:t>
      </w:r>
    </w:p>
    <w:p w14:paraId="67C9D776" w14:textId="77777777" w:rsidR="003C1FA4" w:rsidRPr="003C1FA4" w:rsidRDefault="003C1FA4" w:rsidP="003C1FA4">
      <w:pPr>
        <w:ind w:left="360"/>
        <w:rPr>
          <w:rFonts w:ascii="Arial" w:hAnsi="Arial" w:cs="Arial"/>
        </w:rPr>
      </w:pPr>
    </w:p>
    <w:p w14:paraId="455BA9A0" w14:textId="77777777" w:rsidR="003C1FA4" w:rsidRPr="003C1FA4" w:rsidRDefault="003C1FA4" w:rsidP="003C1F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Pr="003C1FA4">
        <w:rPr>
          <w:rFonts w:ascii="Arial" w:hAnsi="Arial" w:cs="Arial"/>
        </w:rPr>
        <w:t xml:space="preserve">Kim SH, Lim SK, Hahn JS. Effect of pamidronate on new vertebral fractures and bone mineral density in patients with malignant lymphoma receiving chemotherapy. Am J Med. 2004; 116(8): 524–8. </w:t>
      </w:r>
    </w:p>
    <w:p w14:paraId="68873E35" w14:textId="77777777" w:rsidR="003C1FA4" w:rsidRPr="003C1FA4" w:rsidRDefault="003C1FA4" w:rsidP="003C1FA4">
      <w:pPr>
        <w:ind w:left="360"/>
        <w:rPr>
          <w:rFonts w:ascii="Arial" w:hAnsi="Arial" w:cs="Arial"/>
        </w:rPr>
      </w:pPr>
    </w:p>
    <w:p w14:paraId="276A645A" w14:textId="77777777" w:rsidR="006C3229" w:rsidRDefault="003C1FA4" w:rsidP="003C1F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12. </w:t>
      </w:r>
      <w:r w:rsidRPr="003C1FA4">
        <w:rPr>
          <w:rFonts w:ascii="Arial" w:hAnsi="Arial" w:cs="Arial"/>
        </w:rPr>
        <w:t xml:space="preserve">Westin JR, Thompson MA, Cataldo VD, Fayad LE, Fowler N, Fanale MA, et al. Zoledronic acid for prevention of bone loss in patients receiving primary therapy for </w:t>
      </w:r>
      <w:r w:rsidRPr="003C1FA4">
        <w:rPr>
          <w:rFonts w:ascii="Arial" w:hAnsi="Arial" w:cs="Arial"/>
        </w:rPr>
        <w:lastRenderedPageBreak/>
        <w:t>lymphomas: a prospective, randomized controlled phase III trial. Clin Lymphoma Myeloma Leuk. 2013; 13(2): 99–105.</w:t>
      </w:r>
    </w:p>
    <w:p w14:paraId="37989628" w14:textId="77777777" w:rsidR="003C1FA4" w:rsidRDefault="003C1FA4" w:rsidP="003C1FA4">
      <w:pPr>
        <w:rPr>
          <w:rFonts w:ascii="Arial" w:hAnsi="Arial" w:cs="Arial"/>
        </w:rPr>
      </w:pPr>
    </w:p>
    <w:p w14:paraId="73C53E9D" w14:textId="77777777" w:rsidR="003C1FA4" w:rsidRDefault="003C1FA4" w:rsidP="003C1F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13. </w:t>
      </w:r>
      <w:r w:rsidRPr="003C1FA4">
        <w:rPr>
          <w:rFonts w:ascii="Arial" w:hAnsi="Arial" w:cs="Arial"/>
        </w:rPr>
        <w:t xml:space="preserve">Jensen P, Hjort Jakobsen LH, Bøgsted M, </w:t>
      </w:r>
      <w:proofErr w:type="spellStart"/>
      <w:r w:rsidRPr="003C1FA4">
        <w:rPr>
          <w:rFonts w:ascii="Arial" w:hAnsi="Arial" w:cs="Arial"/>
        </w:rPr>
        <w:t>Baech</w:t>
      </w:r>
      <w:proofErr w:type="spellEnd"/>
      <w:r w:rsidRPr="003C1FA4">
        <w:rPr>
          <w:rFonts w:ascii="Arial" w:hAnsi="Arial" w:cs="Arial"/>
        </w:rPr>
        <w:t xml:space="preserve"> J, </w:t>
      </w:r>
      <w:proofErr w:type="spellStart"/>
      <w:r w:rsidRPr="003C1FA4">
        <w:rPr>
          <w:rFonts w:ascii="Arial" w:hAnsi="Arial" w:cs="Arial"/>
        </w:rPr>
        <w:t>Lykkeboe</w:t>
      </w:r>
      <w:proofErr w:type="spellEnd"/>
      <w:r w:rsidRPr="003C1FA4">
        <w:rPr>
          <w:rFonts w:ascii="Arial" w:hAnsi="Arial" w:cs="Arial"/>
        </w:rPr>
        <w:t xml:space="preserve"> S, Severinsen MT, et al. A randomised trial of alendronate as prophylaxis against loss in bone mineral density following lymphoma treatment. Blood Adv. </w:t>
      </w:r>
      <w:proofErr w:type="gramStart"/>
      <w:r w:rsidRPr="003C1FA4">
        <w:rPr>
          <w:rFonts w:ascii="Arial" w:hAnsi="Arial" w:cs="Arial"/>
        </w:rPr>
        <w:t>2022;</w:t>
      </w:r>
      <w:proofErr w:type="gramEnd"/>
    </w:p>
    <w:p w14:paraId="7100152D" w14:textId="77777777" w:rsidR="00702A6F" w:rsidRPr="00081304" w:rsidRDefault="00702A6F" w:rsidP="00081304">
      <w:pPr>
        <w:ind w:left="720"/>
        <w:rPr>
          <w:rFonts w:ascii="Arial" w:hAnsi="Arial" w:cs="Arial"/>
        </w:rPr>
      </w:pPr>
    </w:p>
    <w:p w14:paraId="2B396133" w14:textId="77777777" w:rsidR="00195AD8" w:rsidRDefault="00195AD8" w:rsidP="008442D1">
      <w:pPr>
        <w:rPr>
          <w:rFonts w:ascii="Arial" w:hAnsi="Arial" w:cs="Arial"/>
        </w:rPr>
      </w:pPr>
    </w:p>
    <w:p w14:paraId="5352B320" w14:textId="77777777" w:rsidR="00195AD8" w:rsidRDefault="00195AD8" w:rsidP="008442D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</w:rPr>
        <w:lastRenderedPageBreak/>
        <w:t>Appendix 1.</w:t>
      </w:r>
    </w:p>
    <w:p w14:paraId="26AEA50C" w14:textId="77777777" w:rsidR="00195AD8" w:rsidRDefault="00195AD8" w:rsidP="008442D1">
      <w:pPr>
        <w:rPr>
          <w:rFonts w:ascii="Arial" w:hAnsi="Arial" w:cs="Arial"/>
        </w:rPr>
      </w:pPr>
    </w:p>
    <w:p w14:paraId="14FE8FB5" w14:textId="77777777" w:rsidR="00195AD8" w:rsidRDefault="00195AD8" w:rsidP="008442D1">
      <w:pPr>
        <w:rPr>
          <w:rFonts w:ascii="Arial" w:hAnsi="Arial" w:cs="Arial"/>
        </w:rPr>
      </w:pPr>
      <w:r>
        <w:rPr>
          <w:rFonts w:ascii="Arial" w:hAnsi="Arial" w:cs="Arial"/>
        </w:rPr>
        <w:t>List of lymphoma treatment regimens with high steroid doses</w:t>
      </w:r>
    </w:p>
    <w:p w14:paraId="04DBDE23" w14:textId="77777777" w:rsidR="00195AD8" w:rsidRDefault="00195AD8" w:rsidP="008442D1">
      <w:pPr>
        <w:rPr>
          <w:rFonts w:ascii="Arial" w:hAnsi="Arial" w:cs="Arial"/>
        </w:rPr>
      </w:pPr>
    </w:p>
    <w:p w14:paraId="01E58DDB" w14:textId="77777777" w:rsidR="008442D1" w:rsidRPr="00CE5C37" w:rsidRDefault="008442D1" w:rsidP="008442D1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>CHOP/ RCHOP</w:t>
      </w:r>
      <w:r w:rsidR="00195AD8">
        <w:rPr>
          <w:rFonts w:ascii="Arial" w:hAnsi="Arial" w:cs="Arial"/>
        </w:rPr>
        <w:t>/OCHOP</w:t>
      </w:r>
    </w:p>
    <w:p w14:paraId="5E7FB351" w14:textId="77777777" w:rsidR="008442D1" w:rsidRPr="00CE5C37" w:rsidRDefault="008442D1" w:rsidP="008442D1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>CVP/ RVCP/ OCVP</w:t>
      </w:r>
    </w:p>
    <w:p w14:paraId="640F236F" w14:textId="77777777" w:rsidR="008442D1" w:rsidRPr="00CE5C37" w:rsidRDefault="008442D1" w:rsidP="008442D1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>GDP</w:t>
      </w:r>
    </w:p>
    <w:p w14:paraId="33CF5794" w14:textId="77777777" w:rsidR="008442D1" w:rsidRPr="00CE5C37" w:rsidRDefault="008442D1" w:rsidP="008442D1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>Gem-P</w:t>
      </w:r>
    </w:p>
    <w:p w14:paraId="345FA514" w14:textId="77777777" w:rsidR="008442D1" w:rsidRPr="00CE5C37" w:rsidRDefault="008442D1" w:rsidP="008442D1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>GCVP</w:t>
      </w:r>
    </w:p>
    <w:p w14:paraId="544CC1B6" w14:textId="77777777" w:rsidR="008442D1" w:rsidRPr="00CE5C37" w:rsidRDefault="008442D1" w:rsidP="008442D1">
      <w:pPr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  <w:t>BEACOPP (and</w:t>
      </w:r>
      <w:r w:rsidRPr="00CE5C37">
        <w:rPr>
          <w:rFonts w:ascii="Arial" w:hAnsi="Arial" w:cs="Arial"/>
        </w:rPr>
        <w:t xml:space="preserve"> variants)</w:t>
      </w:r>
    </w:p>
    <w:p w14:paraId="1FB04DF8" w14:textId="77777777" w:rsidR="008442D1" w:rsidRDefault="00195AD8" w:rsidP="008442D1">
      <w:pPr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ChlVPP</w:t>
      </w:r>
      <w:proofErr w:type="spellEnd"/>
    </w:p>
    <w:p w14:paraId="49ABD752" w14:textId="77777777" w:rsidR="00195AD8" w:rsidRPr="00CE5C37" w:rsidRDefault="00195AD8" w:rsidP="008442D1">
      <w:pPr>
        <w:rPr>
          <w:rFonts w:ascii="Arial" w:hAnsi="Arial" w:cs="Arial"/>
        </w:rPr>
      </w:pPr>
      <w:r w:rsidRPr="00195AD8">
        <w:rPr>
          <w:rFonts w:ascii="Arial" w:hAnsi="Arial" w:cs="Arial"/>
        </w:rPr>
        <w:t>•</w:t>
      </w:r>
      <w:r w:rsidRPr="00195AD8">
        <w:rPr>
          <w:rFonts w:ascii="Arial" w:hAnsi="Arial" w:cs="Arial"/>
        </w:rPr>
        <w:tab/>
      </w:r>
      <w:proofErr w:type="spellStart"/>
      <w:r w:rsidRPr="00195AD8">
        <w:rPr>
          <w:rFonts w:ascii="Arial" w:hAnsi="Arial" w:cs="Arial"/>
        </w:rPr>
        <w:t>BeGeV</w:t>
      </w:r>
      <w:proofErr w:type="spellEnd"/>
    </w:p>
    <w:p w14:paraId="60702F6A" w14:textId="77777777" w:rsidR="008442D1" w:rsidRPr="00CE5C37" w:rsidRDefault="00195AD8" w:rsidP="008442D1">
      <w:pPr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  <w:t>DA-EPOCH / DA-EPOCH-R</w:t>
      </w:r>
    </w:p>
    <w:p w14:paraId="4AD7F26A" w14:textId="77777777" w:rsidR="008442D1" w:rsidRDefault="008442D1" w:rsidP="008442D1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>SMILE</w:t>
      </w:r>
    </w:p>
    <w:p w14:paraId="597B9E7A" w14:textId="77777777" w:rsidR="00195AD8" w:rsidRPr="00CE5C37" w:rsidRDefault="00195AD8" w:rsidP="008442D1">
      <w:pPr>
        <w:rPr>
          <w:rFonts w:ascii="Arial" w:hAnsi="Arial" w:cs="Arial"/>
        </w:rPr>
      </w:pPr>
      <w:r w:rsidRPr="00195AD8">
        <w:rPr>
          <w:rFonts w:ascii="Arial" w:hAnsi="Arial" w:cs="Arial"/>
        </w:rPr>
        <w:t>•</w:t>
      </w:r>
      <w:r w:rsidRPr="00195AD8">
        <w:rPr>
          <w:rFonts w:ascii="Arial" w:hAnsi="Arial" w:cs="Arial"/>
        </w:rPr>
        <w:tab/>
      </w:r>
      <w:r>
        <w:rPr>
          <w:rFonts w:ascii="Arial" w:hAnsi="Arial" w:cs="Arial"/>
        </w:rPr>
        <w:t>DeVIC</w:t>
      </w:r>
    </w:p>
    <w:p w14:paraId="767BA395" w14:textId="77777777" w:rsidR="008442D1" w:rsidRPr="00CE5C37" w:rsidRDefault="008442D1" w:rsidP="008442D1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>ESHAP/ RESHAP</w:t>
      </w:r>
    </w:p>
    <w:p w14:paraId="003F6F3D" w14:textId="77777777" w:rsidR="008442D1" w:rsidRDefault="008442D1" w:rsidP="008442D1">
      <w:pPr>
        <w:rPr>
          <w:rFonts w:ascii="Arial" w:hAnsi="Arial" w:cs="Arial"/>
        </w:rPr>
      </w:pPr>
      <w:r w:rsidRPr="00CE5C37">
        <w:rPr>
          <w:rFonts w:ascii="Arial" w:hAnsi="Arial" w:cs="Arial"/>
        </w:rPr>
        <w:t>•</w:t>
      </w:r>
      <w:r w:rsidRPr="00CE5C37">
        <w:rPr>
          <w:rFonts w:ascii="Arial" w:hAnsi="Arial" w:cs="Arial"/>
        </w:rPr>
        <w:tab/>
        <w:t>DHAP/ RDHAP</w:t>
      </w:r>
    </w:p>
    <w:p w14:paraId="1C9B1E0D" w14:textId="77777777" w:rsidR="006C3229" w:rsidRPr="006C3229" w:rsidRDefault="006C3229" w:rsidP="006C3229">
      <w:pPr>
        <w:ind w:left="360"/>
        <w:rPr>
          <w:rFonts w:ascii="Arial" w:hAnsi="Arial" w:cs="Arial"/>
          <w:b/>
        </w:rPr>
      </w:pPr>
    </w:p>
    <w:p w14:paraId="05DC969E" w14:textId="77777777" w:rsidR="00B92C7E" w:rsidRPr="006C3229" w:rsidRDefault="00B92C7E" w:rsidP="002C724A">
      <w:pPr>
        <w:rPr>
          <w:rFonts w:ascii="Arial" w:hAnsi="Arial" w:cs="Arial"/>
          <w:b/>
        </w:rPr>
      </w:pPr>
    </w:p>
    <w:p w14:paraId="7A8AEE9B" w14:textId="77777777" w:rsidR="00E35DD2" w:rsidRPr="00E35DD2" w:rsidRDefault="00E35DD2" w:rsidP="00E35DD2">
      <w:pPr>
        <w:ind w:left="720"/>
        <w:rPr>
          <w:rFonts w:ascii="Arial" w:hAnsi="Arial" w:cs="Arial"/>
          <w:sz w:val="28"/>
        </w:rPr>
      </w:pPr>
    </w:p>
    <w:sectPr w:rsidR="00E35DD2" w:rsidRPr="00E35DD2" w:rsidSect="00F33E9B"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1077" w:bottom="72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270D8" w14:textId="77777777" w:rsidR="00EF3602" w:rsidRDefault="00EF3602">
      <w:r>
        <w:separator/>
      </w:r>
    </w:p>
  </w:endnote>
  <w:endnote w:type="continuationSeparator" w:id="0">
    <w:p w14:paraId="0E465801" w14:textId="77777777" w:rsidR="00EF3602" w:rsidRDefault="00EF3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3E10D" w14:textId="77777777" w:rsidR="00D32035" w:rsidRDefault="00D32035" w:rsidP="00FC6E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7D8750" w14:textId="77777777" w:rsidR="00D32035" w:rsidRDefault="00D32035" w:rsidP="00FC6E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47638" w14:textId="77777777" w:rsidR="00195AD8" w:rsidRPr="00904694" w:rsidRDefault="00195AD8">
    <w:pPr>
      <w:pStyle w:val="Footer"/>
      <w:jc w:val="right"/>
      <w:rPr>
        <w:sz w:val="18"/>
        <w:szCs w:val="18"/>
      </w:rPr>
    </w:pPr>
    <w:r w:rsidRPr="00904694">
      <w:rPr>
        <w:sz w:val="18"/>
        <w:szCs w:val="18"/>
      </w:rPr>
      <w:t xml:space="preserve">Page </w:t>
    </w:r>
    <w:r w:rsidRPr="00904694">
      <w:rPr>
        <w:b/>
        <w:bCs/>
        <w:sz w:val="18"/>
        <w:szCs w:val="18"/>
      </w:rPr>
      <w:fldChar w:fldCharType="begin"/>
    </w:r>
    <w:r w:rsidRPr="00904694">
      <w:rPr>
        <w:b/>
        <w:bCs/>
        <w:sz w:val="18"/>
        <w:szCs w:val="18"/>
      </w:rPr>
      <w:instrText xml:space="preserve"> PAGE </w:instrText>
    </w:r>
    <w:r w:rsidRPr="00904694">
      <w:rPr>
        <w:b/>
        <w:bCs/>
        <w:sz w:val="18"/>
        <w:szCs w:val="18"/>
      </w:rPr>
      <w:fldChar w:fldCharType="separate"/>
    </w:r>
    <w:r w:rsidR="000167EF" w:rsidRPr="00904694">
      <w:rPr>
        <w:b/>
        <w:bCs/>
        <w:noProof/>
        <w:sz w:val="18"/>
        <w:szCs w:val="18"/>
      </w:rPr>
      <w:t>1</w:t>
    </w:r>
    <w:r w:rsidRPr="00904694">
      <w:rPr>
        <w:b/>
        <w:bCs/>
        <w:sz w:val="18"/>
        <w:szCs w:val="18"/>
      </w:rPr>
      <w:fldChar w:fldCharType="end"/>
    </w:r>
    <w:r w:rsidRPr="00904694">
      <w:rPr>
        <w:sz w:val="18"/>
        <w:szCs w:val="18"/>
      </w:rPr>
      <w:t xml:space="preserve"> of </w:t>
    </w:r>
    <w:r w:rsidRPr="00904694">
      <w:rPr>
        <w:b/>
        <w:bCs/>
        <w:sz w:val="18"/>
        <w:szCs w:val="18"/>
      </w:rPr>
      <w:fldChar w:fldCharType="begin"/>
    </w:r>
    <w:r w:rsidRPr="00904694">
      <w:rPr>
        <w:b/>
        <w:bCs/>
        <w:sz w:val="18"/>
        <w:szCs w:val="18"/>
      </w:rPr>
      <w:instrText xml:space="preserve"> NUMPAGES  </w:instrText>
    </w:r>
    <w:r w:rsidRPr="00904694">
      <w:rPr>
        <w:b/>
        <w:bCs/>
        <w:sz w:val="18"/>
        <w:szCs w:val="18"/>
      </w:rPr>
      <w:fldChar w:fldCharType="separate"/>
    </w:r>
    <w:r w:rsidR="000167EF" w:rsidRPr="00904694">
      <w:rPr>
        <w:b/>
        <w:bCs/>
        <w:noProof/>
        <w:sz w:val="18"/>
        <w:szCs w:val="18"/>
      </w:rPr>
      <w:t>1</w:t>
    </w:r>
    <w:r w:rsidRPr="00904694">
      <w:rPr>
        <w:b/>
        <w:bCs/>
        <w:sz w:val="18"/>
        <w:szCs w:val="18"/>
      </w:rPr>
      <w:fldChar w:fldCharType="end"/>
    </w:r>
  </w:p>
  <w:p w14:paraId="46D80554" w14:textId="77777777" w:rsidR="00D32035" w:rsidRPr="00904694" w:rsidRDefault="001C14D9" w:rsidP="00555741">
    <w:pPr>
      <w:pStyle w:val="Footer"/>
      <w:ind w:right="360"/>
      <w:rPr>
        <w:sz w:val="18"/>
        <w:szCs w:val="18"/>
      </w:rPr>
    </w:pPr>
    <w:r w:rsidRPr="00904694">
      <w:rPr>
        <w:sz w:val="18"/>
        <w:szCs w:val="18"/>
      </w:rPr>
      <w:t xml:space="preserve">EM </w:t>
    </w:r>
    <w:r w:rsidRPr="00904694">
      <w:rPr>
        <w:rFonts w:ascii="Arial" w:hAnsi="Arial" w:cs="Arial"/>
        <w:sz w:val="18"/>
        <w:szCs w:val="18"/>
      </w:rPr>
      <w:t>Bisphosphonate</w:t>
    </w:r>
    <w:r w:rsidRPr="00904694">
      <w:rPr>
        <w:sz w:val="18"/>
        <w:szCs w:val="18"/>
      </w:rPr>
      <w:t xml:space="preserve"> Guideline </w:t>
    </w:r>
    <w:r w:rsidR="00036E6D">
      <w:rPr>
        <w:sz w:val="18"/>
        <w:szCs w:val="18"/>
      </w:rPr>
      <w:t>v2.0</w:t>
    </w:r>
    <w:r w:rsidRPr="00904694">
      <w:rPr>
        <w:sz w:val="18"/>
        <w:szCs w:val="18"/>
      </w:rPr>
      <w:t xml:space="preserve"> – </w:t>
    </w:r>
    <w:r w:rsidR="00036E6D">
      <w:rPr>
        <w:sz w:val="18"/>
        <w:szCs w:val="18"/>
      </w:rPr>
      <w:t>Oct</w:t>
    </w:r>
    <w:r w:rsidRPr="00904694">
      <w:rPr>
        <w:sz w:val="18"/>
        <w:szCs w:val="18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DA0C" w14:textId="5761E908" w:rsidR="00D32035" w:rsidRDefault="00D3656F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DC662A0" wp14:editId="1A9C7B60">
          <wp:simplePos x="0" y="0"/>
          <wp:positionH relativeFrom="column">
            <wp:posOffset>2743200</wp:posOffset>
          </wp:positionH>
          <wp:positionV relativeFrom="paragraph">
            <wp:posOffset>-154305</wp:posOffset>
          </wp:positionV>
          <wp:extent cx="685800" cy="571500"/>
          <wp:effectExtent l="0" t="0" r="0" b="0"/>
          <wp:wrapNone/>
          <wp:docPr id="1" name="Picture 2" descr="East Midlands Cancer Allian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East Midlands Cancer Allianc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0" t="-432" r="-720" b="-432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035" w:rsidRPr="00381FF8">
      <w:rPr>
        <w:rFonts w:ascii="Arial" w:hAnsi="Arial" w:cs="Arial"/>
      </w:rPr>
      <w:t>Version 1.0 Feb 09   Giles Matsell Feb 2009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10F10" w14:textId="77777777" w:rsidR="00EF3602" w:rsidRDefault="00EF3602">
      <w:r>
        <w:separator/>
      </w:r>
    </w:p>
  </w:footnote>
  <w:footnote w:type="continuationSeparator" w:id="0">
    <w:p w14:paraId="39DE6C8F" w14:textId="77777777" w:rsidR="00EF3602" w:rsidRDefault="00EF3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3821" w14:textId="639FCFA7" w:rsidR="00D32035" w:rsidRDefault="00D3656F" w:rsidP="00FC6E3C">
    <w:pPr>
      <w:pStyle w:val="Header"/>
      <w:jc w:val="center"/>
    </w:pPr>
    <w:r>
      <w:rPr>
        <w:noProof/>
      </w:rPr>
      <w:drawing>
        <wp:inline distT="0" distB="0" distL="0" distR="0" wp14:anchorId="4A655DA5" wp14:editId="2EF8C125">
          <wp:extent cx="4660900" cy="514350"/>
          <wp:effectExtent l="0" t="0" r="0" b="0"/>
          <wp:docPr id="2" name="Picture 1" descr="A black text on a whit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black text on a white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3BF2AD" w14:textId="77777777" w:rsidR="00D32035" w:rsidRDefault="00D320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241E"/>
    <w:multiLevelType w:val="hybridMultilevel"/>
    <w:tmpl w:val="72F49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602F"/>
    <w:multiLevelType w:val="multilevel"/>
    <w:tmpl w:val="B6988A50"/>
    <w:lvl w:ilvl="0">
      <w:start w:val="2"/>
      <w:numFmt w:val="decimal"/>
      <w:pStyle w:val="Heading6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65F1FF8"/>
    <w:multiLevelType w:val="multilevel"/>
    <w:tmpl w:val="F0965E9C"/>
    <w:lvl w:ilvl="0">
      <w:start w:val="9"/>
      <w:numFmt w:val="decimal"/>
      <w:pStyle w:val="Heading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BC356F7"/>
    <w:multiLevelType w:val="hybridMultilevel"/>
    <w:tmpl w:val="8D268E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862C15"/>
    <w:multiLevelType w:val="hybridMultilevel"/>
    <w:tmpl w:val="35D246C2"/>
    <w:lvl w:ilvl="0" w:tplc="B784D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4567D"/>
    <w:multiLevelType w:val="hybridMultilevel"/>
    <w:tmpl w:val="7F1E2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06F40"/>
    <w:multiLevelType w:val="hybridMultilevel"/>
    <w:tmpl w:val="8A4AC5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73CF4"/>
    <w:multiLevelType w:val="hybridMultilevel"/>
    <w:tmpl w:val="5DD071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82CCA"/>
    <w:multiLevelType w:val="hybridMultilevel"/>
    <w:tmpl w:val="E7B22A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64408B"/>
    <w:multiLevelType w:val="hybridMultilevel"/>
    <w:tmpl w:val="BEBEF0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F71B3"/>
    <w:multiLevelType w:val="hybridMultilevel"/>
    <w:tmpl w:val="F886B262"/>
    <w:lvl w:ilvl="0" w:tplc="7A48B8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07886"/>
    <w:multiLevelType w:val="hybridMultilevel"/>
    <w:tmpl w:val="E458BC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112029"/>
    <w:multiLevelType w:val="hybridMultilevel"/>
    <w:tmpl w:val="E960BF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B37DF"/>
    <w:multiLevelType w:val="hybridMultilevel"/>
    <w:tmpl w:val="F056D298"/>
    <w:lvl w:ilvl="0" w:tplc="FFFFFFFF">
      <w:start w:val="1"/>
      <w:numFmt w:val="decimal"/>
      <w:pStyle w:val="aPolicyParaHeading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pStyle w:val="aPolicyText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pStyle w:val="aParaIndentText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493C0F"/>
    <w:multiLevelType w:val="hybridMultilevel"/>
    <w:tmpl w:val="87B83BD6"/>
    <w:lvl w:ilvl="0" w:tplc="7A48B8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6712">
    <w:abstractNumId w:val="1"/>
  </w:num>
  <w:num w:numId="2" w16cid:durableId="898713337">
    <w:abstractNumId w:val="2"/>
  </w:num>
  <w:num w:numId="3" w16cid:durableId="1986468385">
    <w:abstractNumId w:val="13"/>
  </w:num>
  <w:num w:numId="4" w16cid:durableId="348260074">
    <w:abstractNumId w:val="5"/>
  </w:num>
  <w:num w:numId="5" w16cid:durableId="1585991924">
    <w:abstractNumId w:val="0"/>
  </w:num>
  <w:num w:numId="6" w16cid:durableId="1648977893">
    <w:abstractNumId w:val="9"/>
  </w:num>
  <w:num w:numId="7" w16cid:durableId="149641778">
    <w:abstractNumId w:val="3"/>
  </w:num>
  <w:num w:numId="8" w16cid:durableId="1873765642">
    <w:abstractNumId w:val="11"/>
  </w:num>
  <w:num w:numId="9" w16cid:durableId="1885870567">
    <w:abstractNumId w:val="8"/>
  </w:num>
  <w:num w:numId="10" w16cid:durableId="1606186588">
    <w:abstractNumId w:val="10"/>
  </w:num>
  <w:num w:numId="11" w16cid:durableId="129978923">
    <w:abstractNumId w:val="14"/>
  </w:num>
  <w:num w:numId="12" w16cid:durableId="2090804842">
    <w:abstractNumId w:val="7"/>
  </w:num>
  <w:num w:numId="13" w16cid:durableId="1577591511">
    <w:abstractNumId w:val="12"/>
  </w:num>
  <w:num w:numId="14" w16cid:durableId="1254166508">
    <w:abstractNumId w:val="4"/>
  </w:num>
  <w:num w:numId="15" w16cid:durableId="197082159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F4"/>
    <w:rsid w:val="00003F95"/>
    <w:rsid w:val="00005F3F"/>
    <w:rsid w:val="00007513"/>
    <w:rsid w:val="0001078D"/>
    <w:rsid w:val="00011632"/>
    <w:rsid w:val="000119DC"/>
    <w:rsid w:val="00015B36"/>
    <w:rsid w:val="000167EF"/>
    <w:rsid w:val="00020E76"/>
    <w:rsid w:val="00021866"/>
    <w:rsid w:val="00021D19"/>
    <w:rsid w:val="0002245B"/>
    <w:rsid w:val="00024DA9"/>
    <w:rsid w:val="0002553B"/>
    <w:rsid w:val="00026B69"/>
    <w:rsid w:val="00027A71"/>
    <w:rsid w:val="00030654"/>
    <w:rsid w:val="0003099E"/>
    <w:rsid w:val="00030A28"/>
    <w:rsid w:val="00030DB7"/>
    <w:rsid w:val="000311B8"/>
    <w:rsid w:val="00033ACA"/>
    <w:rsid w:val="00033D85"/>
    <w:rsid w:val="00034FF0"/>
    <w:rsid w:val="00035B90"/>
    <w:rsid w:val="00036E6D"/>
    <w:rsid w:val="00037470"/>
    <w:rsid w:val="00043373"/>
    <w:rsid w:val="000452A2"/>
    <w:rsid w:val="0004709F"/>
    <w:rsid w:val="00052822"/>
    <w:rsid w:val="00055579"/>
    <w:rsid w:val="00056A58"/>
    <w:rsid w:val="00056B80"/>
    <w:rsid w:val="00056E9B"/>
    <w:rsid w:val="0006127E"/>
    <w:rsid w:val="000613D8"/>
    <w:rsid w:val="00061E4E"/>
    <w:rsid w:val="00063785"/>
    <w:rsid w:val="00065107"/>
    <w:rsid w:val="00081304"/>
    <w:rsid w:val="00081FC4"/>
    <w:rsid w:val="00082171"/>
    <w:rsid w:val="00084639"/>
    <w:rsid w:val="0008540E"/>
    <w:rsid w:val="00087267"/>
    <w:rsid w:val="00090568"/>
    <w:rsid w:val="000937EB"/>
    <w:rsid w:val="0009431F"/>
    <w:rsid w:val="00095996"/>
    <w:rsid w:val="00096074"/>
    <w:rsid w:val="00097966"/>
    <w:rsid w:val="000A03A9"/>
    <w:rsid w:val="000A1649"/>
    <w:rsid w:val="000A3C2C"/>
    <w:rsid w:val="000A4910"/>
    <w:rsid w:val="000A60BE"/>
    <w:rsid w:val="000B1C89"/>
    <w:rsid w:val="000B2235"/>
    <w:rsid w:val="000B3FED"/>
    <w:rsid w:val="000B49F7"/>
    <w:rsid w:val="000B78A7"/>
    <w:rsid w:val="000B7C17"/>
    <w:rsid w:val="000C3CB7"/>
    <w:rsid w:val="000C606A"/>
    <w:rsid w:val="000C6D3E"/>
    <w:rsid w:val="000D2233"/>
    <w:rsid w:val="000D3292"/>
    <w:rsid w:val="000D4E1C"/>
    <w:rsid w:val="000D6007"/>
    <w:rsid w:val="000D6D16"/>
    <w:rsid w:val="000D6E84"/>
    <w:rsid w:val="000E3993"/>
    <w:rsid w:val="000F098C"/>
    <w:rsid w:val="000F2E2B"/>
    <w:rsid w:val="000F4F67"/>
    <w:rsid w:val="000F587A"/>
    <w:rsid w:val="00104905"/>
    <w:rsid w:val="00111C25"/>
    <w:rsid w:val="00112348"/>
    <w:rsid w:val="00112BED"/>
    <w:rsid w:val="00115AAF"/>
    <w:rsid w:val="00116C94"/>
    <w:rsid w:val="00127F5D"/>
    <w:rsid w:val="001366C5"/>
    <w:rsid w:val="00136C42"/>
    <w:rsid w:val="00141645"/>
    <w:rsid w:val="00144141"/>
    <w:rsid w:val="001445FE"/>
    <w:rsid w:val="00145E5E"/>
    <w:rsid w:val="0014727F"/>
    <w:rsid w:val="001515C7"/>
    <w:rsid w:val="00153834"/>
    <w:rsid w:val="001605BF"/>
    <w:rsid w:val="00160FF9"/>
    <w:rsid w:val="0016124C"/>
    <w:rsid w:val="001613A6"/>
    <w:rsid w:val="00161E8D"/>
    <w:rsid w:val="00164DB5"/>
    <w:rsid w:val="00167621"/>
    <w:rsid w:val="00172225"/>
    <w:rsid w:val="0017274B"/>
    <w:rsid w:val="00174589"/>
    <w:rsid w:val="00176EB3"/>
    <w:rsid w:val="00180B0D"/>
    <w:rsid w:val="00181E54"/>
    <w:rsid w:val="0018317B"/>
    <w:rsid w:val="0018531F"/>
    <w:rsid w:val="00185BE3"/>
    <w:rsid w:val="00185F52"/>
    <w:rsid w:val="00191000"/>
    <w:rsid w:val="00193190"/>
    <w:rsid w:val="00193CD8"/>
    <w:rsid w:val="00195AD8"/>
    <w:rsid w:val="001966AA"/>
    <w:rsid w:val="0019677A"/>
    <w:rsid w:val="001A0683"/>
    <w:rsid w:val="001A0B8E"/>
    <w:rsid w:val="001A22AA"/>
    <w:rsid w:val="001A4F1D"/>
    <w:rsid w:val="001A53D7"/>
    <w:rsid w:val="001B02DE"/>
    <w:rsid w:val="001B1CC7"/>
    <w:rsid w:val="001B3252"/>
    <w:rsid w:val="001B35D6"/>
    <w:rsid w:val="001B59E5"/>
    <w:rsid w:val="001B68D5"/>
    <w:rsid w:val="001C0914"/>
    <w:rsid w:val="001C14D9"/>
    <w:rsid w:val="001C2307"/>
    <w:rsid w:val="001C7483"/>
    <w:rsid w:val="001D0D8F"/>
    <w:rsid w:val="001D2EB0"/>
    <w:rsid w:val="001D538C"/>
    <w:rsid w:val="001E33C0"/>
    <w:rsid w:val="001E35E7"/>
    <w:rsid w:val="001E5E7E"/>
    <w:rsid w:val="001E65E7"/>
    <w:rsid w:val="001E7669"/>
    <w:rsid w:val="001F38D9"/>
    <w:rsid w:val="001F38E9"/>
    <w:rsid w:val="001F59B3"/>
    <w:rsid w:val="001F7ACD"/>
    <w:rsid w:val="00202341"/>
    <w:rsid w:val="00202A66"/>
    <w:rsid w:val="00203A3F"/>
    <w:rsid w:val="002057D4"/>
    <w:rsid w:val="002165E9"/>
    <w:rsid w:val="00216CC7"/>
    <w:rsid w:val="002203EF"/>
    <w:rsid w:val="002218DC"/>
    <w:rsid w:val="002229F3"/>
    <w:rsid w:val="00223D8C"/>
    <w:rsid w:val="0023154A"/>
    <w:rsid w:val="002331EE"/>
    <w:rsid w:val="002349DF"/>
    <w:rsid w:val="00234CA7"/>
    <w:rsid w:val="00234F26"/>
    <w:rsid w:val="002363EF"/>
    <w:rsid w:val="00236D82"/>
    <w:rsid w:val="00242352"/>
    <w:rsid w:val="00243EC9"/>
    <w:rsid w:val="00247A6F"/>
    <w:rsid w:val="002529E7"/>
    <w:rsid w:val="0025336F"/>
    <w:rsid w:val="0025425D"/>
    <w:rsid w:val="0026063A"/>
    <w:rsid w:val="002607A7"/>
    <w:rsid w:val="00264585"/>
    <w:rsid w:val="002661AB"/>
    <w:rsid w:val="00270CA0"/>
    <w:rsid w:val="00271DAA"/>
    <w:rsid w:val="00272FCC"/>
    <w:rsid w:val="00274AAE"/>
    <w:rsid w:val="00277454"/>
    <w:rsid w:val="002845F1"/>
    <w:rsid w:val="00284621"/>
    <w:rsid w:val="00286B42"/>
    <w:rsid w:val="00287872"/>
    <w:rsid w:val="00291C42"/>
    <w:rsid w:val="00294154"/>
    <w:rsid w:val="00294D3B"/>
    <w:rsid w:val="00296FCB"/>
    <w:rsid w:val="002A132C"/>
    <w:rsid w:val="002A4712"/>
    <w:rsid w:val="002A4BEA"/>
    <w:rsid w:val="002A5E37"/>
    <w:rsid w:val="002A6B5B"/>
    <w:rsid w:val="002B031F"/>
    <w:rsid w:val="002B0951"/>
    <w:rsid w:val="002B2A35"/>
    <w:rsid w:val="002B405C"/>
    <w:rsid w:val="002C1999"/>
    <w:rsid w:val="002C2009"/>
    <w:rsid w:val="002C207F"/>
    <w:rsid w:val="002C2519"/>
    <w:rsid w:val="002C2A08"/>
    <w:rsid w:val="002C2F35"/>
    <w:rsid w:val="002C3517"/>
    <w:rsid w:val="002C4BBE"/>
    <w:rsid w:val="002C5E12"/>
    <w:rsid w:val="002C724A"/>
    <w:rsid w:val="002D17CA"/>
    <w:rsid w:val="002D28BA"/>
    <w:rsid w:val="002D6A63"/>
    <w:rsid w:val="002E0DF5"/>
    <w:rsid w:val="002E2D85"/>
    <w:rsid w:val="002E3592"/>
    <w:rsid w:val="002E52BD"/>
    <w:rsid w:val="002F0B0B"/>
    <w:rsid w:val="002F30E7"/>
    <w:rsid w:val="002F33AE"/>
    <w:rsid w:val="002F63CB"/>
    <w:rsid w:val="00301B9E"/>
    <w:rsid w:val="0030303D"/>
    <w:rsid w:val="0030400E"/>
    <w:rsid w:val="00304637"/>
    <w:rsid w:val="00305178"/>
    <w:rsid w:val="00311FCE"/>
    <w:rsid w:val="003157BB"/>
    <w:rsid w:val="00316E7C"/>
    <w:rsid w:val="003178BB"/>
    <w:rsid w:val="00325039"/>
    <w:rsid w:val="00333FBA"/>
    <w:rsid w:val="00343893"/>
    <w:rsid w:val="00344EC1"/>
    <w:rsid w:val="00346BD1"/>
    <w:rsid w:val="0035148A"/>
    <w:rsid w:val="0035194A"/>
    <w:rsid w:val="00352170"/>
    <w:rsid w:val="00353A6C"/>
    <w:rsid w:val="00353F12"/>
    <w:rsid w:val="00360BA8"/>
    <w:rsid w:val="00361DDB"/>
    <w:rsid w:val="00362679"/>
    <w:rsid w:val="0036459D"/>
    <w:rsid w:val="00372113"/>
    <w:rsid w:val="00373833"/>
    <w:rsid w:val="00373B1A"/>
    <w:rsid w:val="0038048B"/>
    <w:rsid w:val="00382A8C"/>
    <w:rsid w:val="00384A42"/>
    <w:rsid w:val="00387D16"/>
    <w:rsid w:val="003911CD"/>
    <w:rsid w:val="00391417"/>
    <w:rsid w:val="003917F5"/>
    <w:rsid w:val="00394EC9"/>
    <w:rsid w:val="00395E5D"/>
    <w:rsid w:val="003A0351"/>
    <w:rsid w:val="003A208B"/>
    <w:rsid w:val="003A741E"/>
    <w:rsid w:val="003B6A9A"/>
    <w:rsid w:val="003C1FA4"/>
    <w:rsid w:val="003C34AC"/>
    <w:rsid w:val="003C4CDC"/>
    <w:rsid w:val="003C76E4"/>
    <w:rsid w:val="003C76FF"/>
    <w:rsid w:val="003D1C28"/>
    <w:rsid w:val="003D61EF"/>
    <w:rsid w:val="003E0307"/>
    <w:rsid w:val="003E32B4"/>
    <w:rsid w:val="003E6814"/>
    <w:rsid w:val="003E7C63"/>
    <w:rsid w:val="003F3F69"/>
    <w:rsid w:val="003F3F84"/>
    <w:rsid w:val="003F5B1B"/>
    <w:rsid w:val="003F6656"/>
    <w:rsid w:val="003F7770"/>
    <w:rsid w:val="00400FBC"/>
    <w:rsid w:val="004045E1"/>
    <w:rsid w:val="00405F2B"/>
    <w:rsid w:val="00406E19"/>
    <w:rsid w:val="004079BA"/>
    <w:rsid w:val="004125F8"/>
    <w:rsid w:val="00413DC3"/>
    <w:rsid w:val="00414449"/>
    <w:rsid w:val="00414965"/>
    <w:rsid w:val="004176EA"/>
    <w:rsid w:val="00421864"/>
    <w:rsid w:val="00421A2F"/>
    <w:rsid w:val="00422F41"/>
    <w:rsid w:val="00423363"/>
    <w:rsid w:val="00426297"/>
    <w:rsid w:val="0042630A"/>
    <w:rsid w:val="00427B08"/>
    <w:rsid w:val="00431C33"/>
    <w:rsid w:val="0043234E"/>
    <w:rsid w:val="00432640"/>
    <w:rsid w:val="004340BD"/>
    <w:rsid w:val="00437ACF"/>
    <w:rsid w:val="00437F8C"/>
    <w:rsid w:val="00437FEB"/>
    <w:rsid w:val="00443936"/>
    <w:rsid w:val="00443E3A"/>
    <w:rsid w:val="00446DD1"/>
    <w:rsid w:val="004526C5"/>
    <w:rsid w:val="004527B4"/>
    <w:rsid w:val="00455A06"/>
    <w:rsid w:val="00455D2B"/>
    <w:rsid w:val="00461946"/>
    <w:rsid w:val="0046574D"/>
    <w:rsid w:val="00466FC0"/>
    <w:rsid w:val="004739BF"/>
    <w:rsid w:val="00476695"/>
    <w:rsid w:val="00477B5D"/>
    <w:rsid w:val="00480624"/>
    <w:rsid w:val="004832F5"/>
    <w:rsid w:val="004852BC"/>
    <w:rsid w:val="00485889"/>
    <w:rsid w:val="00485E31"/>
    <w:rsid w:val="0048657D"/>
    <w:rsid w:val="00493670"/>
    <w:rsid w:val="0049383C"/>
    <w:rsid w:val="004975A9"/>
    <w:rsid w:val="004A2D5A"/>
    <w:rsid w:val="004A4253"/>
    <w:rsid w:val="004B747C"/>
    <w:rsid w:val="004C3456"/>
    <w:rsid w:val="004C431B"/>
    <w:rsid w:val="004C4AA0"/>
    <w:rsid w:val="004C4CB6"/>
    <w:rsid w:val="004C4E7B"/>
    <w:rsid w:val="004D0BB6"/>
    <w:rsid w:val="004D2A6E"/>
    <w:rsid w:val="004D4DEC"/>
    <w:rsid w:val="004D606C"/>
    <w:rsid w:val="004E1FB6"/>
    <w:rsid w:val="004E38AC"/>
    <w:rsid w:val="004E5588"/>
    <w:rsid w:val="004E5B50"/>
    <w:rsid w:val="004F010E"/>
    <w:rsid w:val="004F5A66"/>
    <w:rsid w:val="00500408"/>
    <w:rsid w:val="0050107B"/>
    <w:rsid w:val="00501C0A"/>
    <w:rsid w:val="00502948"/>
    <w:rsid w:val="005062AF"/>
    <w:rsid w:val="00507A3F"/>
    <w:rsid w:val="005109B6"/>
    <w:rsid w:val="005113FB"/>
    <w:rsid w:val="005116F8"/>
    <w:rsid w:val="00515040"/>
    <w:rsid w:val="005155CC"/>
    <w:rsid w:val="00516B97"/>
    <w:rsid w:val="00521C8F"/>
    <w:rsid w:val="0052337B"/>
    <w:rsid w:val="00523EE4"/>
    <w:rsid w:val="00534567"/>
    <w:rsid w:val="00534A03"/>
    <w:rsid w:val="005364D0"/>
    <w:rsid w:val="00537D9F"/>
    <w:rsid w:val="00544682"/>
    <w:rsid w:val="00544E6F"/>
    <w:rsid w:val="00546161"/>
    <w:rsid w:val="00547B18"/>
    <w:rsid w:val="005500CB"/>
    <w:rsid w:val="00550DDD"/>
    <w:rsid w:val="0055569F"/>
    <w:rsid w:val="00555741"/>
    <w:rsid w:val="005560EC"/>
    <w:rsid w:val="00560081"/>
    <w:rsid w:val="00560A83"/>
    <w:rsid w:val="005647AF"/>
    <w:rsid w:val="00565C44"/>
    <w:rsid w:val="00567B30"/>
    <w:rsid w:val="00571CD8"/>
    <w:rsid w:val="005721C3"/>
    <w:rsid w:val="00573884"/>
    <w:rsid w:val="00574605"/>
    <w:rsid w:val="00580E43"/>
    <w:rsid w:val="00581244"/>
    <w:rsid w:val="00582D27"/>
    <w:rsid w:val="00585F5A"/>
    <w:rsid w:val="00587C9C"/>
    <w:rsid w:val="005900F5"/>
    <w:rsid w:val="0059014C"/>
    <w:rsid w:val="00592E76"/>
    <w:rsid w:val="00593E5E"/>
    <w:rsid w:val="005951CD"/>
    <w:rsid w:val="0059565F"/>
    <w:rsid w:val="00595D21"/>
    <w:rsid w:val="005971EA"/>
    <w:rsid w:val="005A17E2"/>
    <w:rsid w:val="005A3DCB"/>
    <w:rsid w:val="005A552A"/>
    <w:rsid w:val="005A6939"/>
    <w:rsid w:val="005A71D3"/>
    <w:rsid w:val="005A72E9"/>
    <w:rsid w:val="005A78E8"/>
    <w:rsid w:val="005B12E3"/>
    <w:rsid w:val="005B4AD9"/>
    <w:rsid w:val="005B52F4"/>
    <w:rsid w:val="005B7237"/>
    <w:rsid w:val="005C0F5A"/>
    <w:rsid w:val="005C10B0"/>
    <w:rsid w:val="005C151B"/>
    <w:rsid w:val="005C3326"/>
    <w:rsid w:val="005C3901"/>
    <w:rsid w:val="005C3E39"/>
    <w:rsid w:val="005C641A"/>
    <w:rsid w:val="005C653B"/>
    <w:rsid w:val="005C6663"/>
    <w:rsid w:val="005C693E"/>
    <w:rsid w:val="005C6AFA"/>
    <w:rsid w:val="005D02FE"/>
    <w:rsid w:val="005D09E0"/>
    <w:rsid w:val="005E3F2B"/>
    <w:rsid w:val="005F1AFC"/>
    <w:rsid w:val="005F46BD"/>
    <w:rsid w:val="005F5D13"/>
    <w:rsid w:val="00601467"/>
    <w:rsid w:val="00603BA6"/>
    <w:rsid w:val="00606C62"/>
    <w:rsid w:val="0061090C"/>
    <w:rsid w:val="00611A55"/>
    <w:rsid w:val="006126B7"/>
    <w:rsid w:val="00617BFA"/>
    <w:rsid w:val="00620BC8"/>
    <w:rsid w:val="00625234"/>
    <w:rsid w:val="00630CBC"/>
    <w:rsid w:val="00631A06"/>
    <w:rsid w:val="00632E24"/>
    <w:rsid w:val="00636C26"/>
    <w:rsid w:val="00637D33"/>
    <w:rsid w:val="00637D5E"/>
    <w:rsid w:val="00641122"/>
    <w:rsid w:val="00641582"/>
    <w:rsid w:val="00643099"/>
    <w:rsid w:val="00645FB5"/>
    <w:rsid w:val="00647CB1"/>
    <w:rsid w:val="00652333"/>
    <w:rsid w:val="0065269C"/>
    <w:rsid w:val="00653BF4"/>
    <w:rsid w:val="00661DB1"/>
    <w:rsid w:val="006674F7"/>
    <w:rsid w:val="00667E99"/>
    <w:rsid w:val="006705AA"/>
    <w:rsid w:val="00675058"/>
    <w:rsid w:val="006757DE"/>
    <w:rsid w:val="00676FFD"/>
    <w:rsid w:val="0067780C"/>
    <w:rsid w:val="00680028"/>
    <w:rsid w:val="006832F1"/>
    <w:rsid w:val="00683E28"/>
    <w:rsid w:val="00684E71"/>
    <w:rsid w:val="0068613D"/>
    <w:rsid w:val="00690762"/>
    <w:rsid w:val="006A0231"/>
    <w:rsid w:val="006A4CA3"/>
    <w:rsid w:val="006A6934"/>
    <w:rsid w:val="006B1350"/>
    <w:rsid w:val="006B400A"/>
    <w:rsid w:val="006B4452"/>
    <w:rsid w:val="006B46E3"/>
    <w:rsid w:val="006B516F"/>
    <w:rsid w:val="006B6595"/>
    <w:rsid w:val="006B6A5D"/>
    <w:rsid w:val="006B7F30"/>
    <w:rsid w:val="006C0693"/>
    <w:rsid w:val="006C2F37"/>
    <w:rsid w:val="006C3229"/>
    <w:rsid w:val="006C4F11"/>
    <w:rsid w:val="006C6B33"/>
    <w:rsid w:val="006D21EA"/>
    <w:rsid w:val="006D2325"/>
    <w:rsid w:val="006D25CD"/>
    <w:rsid w:val="006D3A06"/>
    <w:rsid w:val="006D5C06"/>
    <w:rsid w:val="006D62AB"/>
    <w:rsid w:val="006D6942"/>
    <w:rsid w:val="006D6AAA"/>
    <w:rsid w:val="006D7D3B"/>
    <w:rsid w:val="006D7FD4"/>
    <w:rsid w:val="006E0605"/>
    <w:rsid w:val="006E1337"/>
    <w:rsid w:val="006E1A65"/>
    <w:rsid w:val="006E6AD7"/>
    <w:rsid w:val="006F1B1A"/>
    <w:rsid w:val="006F486C"/>
    <w:rsid w:val="006F49CB"/>
    <w:rsid w:val="006F5876"/>
    <w:rsid w:val="006F59B4"/>
    <w:rsid w:val="006F7C33"/>
    <w:rsid w:val="0070199F"/>
    <w:rsid w:val="00702201"/>
    <w:rsid w:val="00702A6F"/>
    <w:rsid w:val="0070604A"/>
    <w:rsid w:val="0070613F"/>
    <w:rsid w:val="0070716B"/>
    <w:rsid w:val="0070784D"/>
    <w:rsid w:val="007106D6"/>
    <w:rsid w:val="00711E80"/>
    <w:rsid w:val="00712A14"/>
    <w:rsid w:val="00714EF8"/>
    <w:rsid w:val="007209BE"/>
    <w:rsid w:val="007216AE"/>
    <w:rsid w:val="00721E42"/>
    <w:rsid w:val="007323C1"/>
    <w:rsid w:val="007328EE"/>
    <w:rsid w:val="00732D17"/>
    <w:rsid w:val="00732E57"/>
    <w:rsid w:val="0073307D"/>
    <w:rsid w:val="007339DD"/>
    <w:rsid w:val="007351DF"/>
    <w:rsid w:val="00736026"/>
    <w:rsid w:val="007422B8"/>
    <w:rsid w:val="00745F22"/>
    <w:rsid w:val="007478B2"/>
    <w:rsid w:val="00750321"/>
    <w:rsid w:val="00752719"/>
    <w:rsid w:val="00761B6D"/>
    <w:rsid w:val="00764BA3"/>
    <w:rsid w:val="007660AD"/>
    <w:rsid w:val="007701A6"/>
    <w:rsid w:val="007713C6"/>
    <w:rsid w:val="00772256"/>
    <w:rsid w:val="00774243"/>
    <w:rsid w:val="007756D4"/>
    <w:rsid w:val="00775C79"/>
    <w:rsid w:val="00775D6A"/>
    <w:rsid w:val="00776AA9"/>
    <w:rsid w:val="00776CED"/>
    <w:rsid w:val="00782675"/>
    <w:rsid w:val="00784216"/>
    <w:rsid w:val="00787A14"/>
    <w:rsid w:val="00787B49"/>
    <w:rsid w:val="0079137E"/>
    <w:rsid w:val="00791D3C"/>
    <w:rsid w:val="00793077"/>
    <w:rsid w:val="00794D12"/>
    <w:rsid w:val="00796094"/>
    <w:rsid w:val="00797BAC"/>
    <w:rsid w:val="007A2F1F"/>
    <w:rsid w:val="007A30B3"/>
    <w:rsid w:val="007A4D03"/>
    <w:rsid w:val="007A6980"/>
    <w:rsid w:val="007B208A"/>
    <w:rsid w:val="007B3377"/>
    <w:rsid w:val="007B3B7B"/>
    <w:rsid w:val="007B414D"/>
    <w:rsid w:val="007B6B20"/>
    <w:rsid w:val="007C3EA3"/>
    <w:rsid w:val="007C552B"/>
    <w:rsid w:val="007D0C7C"/>
    <w:rsid w:val="007D1FB3"/>
    <w:rsid w:val="007D23E3"/>
    <w:rsid w:val="007D4863"/>
    <w:rsid w:val="007D595D"/>
    <w:rsid w:val="007E3BE2"/>
    <w:rsid w:val="007E5077"/>
    <w:rsid w:val="007E60DE"/>
    <w:rsid w:val="007E6AD6"/>
    <w:rsid w:val="007E7578"/>
    <w:rsid w:val="007E7DD8"/>
    <w:rsid w:val="007F0880"/>
    <w:rsid w:val="007F24A5"/>
    <w:rsid w:val="007F3128"/>
    <w:rsid w:val="007F6E91"/>
    <w:rsid w:val="007F7960"/>
    <w:rsid w:val="008006E0"/>
    <w:rsid w:val="00803B5C"/>
    <w:rsid w:val="00803FAC"/>
    <w:rsid w:val="00804617"/>
    <w:rsid w:val="00804682"/>
    <w:rsid w:val="00807715"/>
    <w:rsid w:val="008102F7"/>
    <w:rsid w:val="00812083"/>
    <w:rsid w:val="0081245A"/>
    <w:rsid w:val="008129E4"/>
    <w:rsid w:val="00816CB1"/>
    <w:rsid w:val="00817185"/>
    <w:rsid w:val="00823599"/>
    <w:rsid w:val="00823F84"/>
    <w:rsid w:val="0082567E"/>
    <w:rsid w:val="0082683C"/>
    <w:rsid w:val="00826B0B"/>
    <w:rsid w:val="0083339C"/>
    <w:rsid w:val="00836E38"/>
    <w:rsid w:val="00841D6E"/>
    <w:rsid w:val="008423B5"/>
    <w:rsid w:val="0084342A"/>
    <w:rsid w:val="008442D1"/>
    <w:rsid w:val="0084466D"/>
    <w:rsid w:val="00844880"/>
    <w:rsid w:val="00844A57"/>
    <w:rsid w:val="00844BB9"/>
    <w:rsid w:val="00844BEF"/>
    <w:rsid w:val="00847925"/>
    <w:rsid w:val="0085155F"/>
    <w:rsid w:val="00853E5A"/>
    <w:rsid w:val="00861429"/>
    <w:rsid w:val="008654E4"/>
    <w:rsid w:val="00865570"/>
    <w:rsid w:val="008720D6"/>
    <w:rsid w:val="008720F6"/>
    <w:rsid w:val="0087234C"/>
    <w:rsid w:val="008745A5"/>
    <w:rsid w:val="008749DD"/>
    <w:rsid w:val="008759FD"/>
    <w:rsid w:val="00876BC5"/>
    <w:rsid w:val="00876CEB"/>
    <w:rsid w:val="00882440"/>
    <w:rsid w:val="00886494"/>
    <w:rsid w:val="00887EE7"/>
    <w:rsid w:val="00890C02"/>
    <w:rsid w:val="0089135F"/>
    <w:rsid w:val="00893D6C"/>
    <w:rsid w:val="00895870"/>
    <w:rsid w:val="008967A3"/>
    <w:rsid w:val="008972C3"/>
    <w:rsid w:val="008A035E"/>
    <w:rsid w:val="008A1577"/>
    <w:rsid w:val="008A2BFF"/>
    <w:rsid w:val="008A33BE"/>
    <w:rsid w:val="008A453E"/>
    <w:rsid w:val="008B1889"/>
    <w:rsid w:val="008B2880"/>
    <w:rsid w:val="008B54FD"/>
    <w:rsid w:val="008C05D6"/>
    <w:rsid w:val="008C2425"/>
    <w:rsid w:val="008C642C"/>
    <w:rsid w:val="008D2DCC"/>
    <w:rsid w:val="008E0CDE"/>
    <w:rsid w:val="008E19BC"/>
    <w:rsid w:val="008E49CF"/>
    <w:rsid w:val="008E7051"/>
    <w:rsid w:val="008F0B4B"/>
    <w:rsid w:val="008F374E"/>
    <w:rsid w:val="008F4509"/>
    <w:rsid w:val="008F5B2A"/>
    <w:rsid w:val="00901631"/>
    <w:rsid w:val="00901778"/>
    <w:rsid w:val="00901A5A"/>
    <w:rsid w:val="009039C7"/>
    <w:rsid w:val="00903AB6"/>
    <w:rsid w:val="00904694"/>
    <w:rsid w:val="009049A5"/>
    <w:rsid w:val="0090668F"/>
    <w:rsid w:val="0090680C"/>
    <w:rsid w:val="009123DC"/>
    <w:rsid w:val="0091723F"/>
    <w:rsid w:val="009174B5"/>
    <w:rsid w:val="00917C7D"/>
    <w:rsid w:val="00920EEE"/>
    <w:rsid w:val="00921F5C"/>
    <w:rsid w:val="00923CEB"/>
    <w:rsid w:val="0092651F"/>
    <w:rsid w:val="00926951"/>
    <w:rsid w:val="00927D9D"/>
    <w:rsid w:val="00931288"/>
    <w:rsid w:val="00933799"/>
    <w:rsid w:val="00937871"/>
    <w:rsid w:val="00940696"/>
    <w:rsid w:val="00947C5F"/>
    <w:rsid w:val="00952281"/>
    <w:rsid w:val="009566ED"/>
    <w:rsid w:val="009608ED"/>
    <w:rsid w:val="00960FCD"/>
    <w:rsid w:val="009610A9"/>
    <w:rsid w:val="00967C1A"/>
    <w:rsid w:val="00975472"/>
    <w:rsid w:val="009757F8"/>
    <w:rsid w:val="00975B57"/>
    <w:rsid w:val="00975E5C"/>
    <w:rsid w:val="00977F5B"/>
    <w:rsid w:val="00980E8E"/>
    <w:rsid w:val="0098132F"/>
    <w:rsid w:val="009814C3"/>
    <w:rsid w:val="00981F1C"/>
    <w:rsid w:val="00983911"/>
    <w:rsid w:val="0098425A"/>
    <w:rsid w:val="00984B98"/>
    <w:rsid w:val="00985031"/>
    <w:rsid w:val="00985454"/>
    <w:rsid w:val="00986CF4"/>
    <w:rsid w:val="00986D3D"/>
    <w:rsid w:val="00987B12"/>
    <w:rsid w:val="00990EF1"/>
    <w:rsid w:val="00991ECD"/>
    <w:rsid w:val="00992605"/>
    <w:rsid w:val="0099478A"/>
    <w:rsid w:val="0099529D"/>
    <w:rsid w:val="00996328"/>
    <w:rsid w:val="009A1798"/>
    <w:rsid w:val="009A22F6"/>
    <w:rsid w:val="009A2F1D"/>
    <w:rsid w:val="009A67EB"/>
    <w:rsid w:val="009A6AB4"/>
    <w:rsid w:val="009B04E0"/>
    <w:rsid w:val="009B2398"/>
    <w:rsid w:val="009B443B"/>
    <w:rsid w:val="009B471B"/>
    <w:rsid w:val="009B5105"/>
    <w:rsid w:val="009B5C5C"/>
    <w:rsid w:val="009C14C0"/>
    <w:rsid w:val="009C3573"/>
    <w:rsid w:val="009C470E"/>
    <w:rsid w:val="009C68E4"/>
    <w:rsid w:val="009D1C37"/>
    <w:rsid w:val="009E0FE0"/>
    <w:rsid w:val="009E53FA"/>
    <w:rsid w:val="009F019A"/>
    <w:rsid w:val="009F2CA1"/>
    <w:rsid w:val="009F403C"/>
    <w:rsid w:val="009F53F9"/>
    <w:rsid w:val="00A05A80"/>
    <w:rsid w:val="00A05B4C"/>
    <w:rsid w:val="00A06550"/>
    <w:rsid w:val="00A11F59"/>
    <w:rsid w:val="00A12BEE"/>
    <w:rsid w:val="00A14B14"/>
    <w:rsid w:val="00A15400"/>
    <w:rsid w:val="00A15DC6"/>
    <w:rsid w:val="00A167E8"/>
    <w:rsid w:val="00A1691E"/>
    <w:rsid w:val="00A20495"/>
    <w:rsid w:val="00A212DA"/>
    <w:rsid w:val="00A24B33"/>
    <w:rsid w:val="00A24D83"/>
    <w:rsid w:val="00A25536"/>
    <w:rsid w:val="00A30422"/>
    <w:rsid w:val="00A30B0C"/>
    <w:rsid w:val="00A325DA"/>
    <w:rsid w:val="00A34B7F"/>
    <w:rsid w:val="00A36B49"/>
    <w:rsid w:val="00A423E0"/>
    <w:rsid w:val="00A427E4"/>
    <w:rsid w:val="00A43593"/>
    <w:rsid w:val="00A443E9"/>
    <w:rsid w:val="00A46576"/>
    <w:rsid w:val="00A47FA4"/>
    <w:rsid w:val="00A5021B"/>
    <w:rsid w:val="00A51301"/>
    <w:rsid w:val="00A52427"/>
    <w:rsid w:val="00A54281"/>
    <w:rsid w:val="00A575CD"/>
    <w:rsid w:val="00A6185E"/>
    <w:rsid w:val="00A61A97"/>
    <w:rsid w:val="00A629F6"/>
    <w:rsid w:val="00A668DD"/>
    <w:rsid w:val="00A70531"/>
    <w:rsid w:val="00A720AE"/>
    <w:rsid w:val="00A7251D"/>
    <w:rsid w:val="00A73735"/>
    <w:rsid w:val="00A740C3"/>
    <w:rsid w:val="00A833EC"/>
    <w:rsid w:val="00A847A8"/>
    <w:rsid w:val="00A912B4"/>
    <w:rsid w:val="00A9512A"/>
    <w:rsid w:val="00A962E3"/>
    <w:rsid w:val="00A96B7C"/>
    <w:rsid w:val="00A97C5C"/>
    <w:rsid w:val="00AA2AF8"/>
    <w:rsid w:val="00AA36F9"/>
    <w:rsid w:val="00AA5E99"/>
    <w:rsid w:val="00AA5FAE"/>
    <w:rsid w:val="00AA7B13"/>
    <w:rsid w:val="00AB21AA"/>
    <w:rsid w:val="00AB3008"/>
    <w:rsid w:val="00AB3E9B"/>
    <w:rsid w:val="00AB3F72"/>
    <w:rsid w:val="00AC2EEF"/>
    <w:rsid w:val="00AC667C"/>
    <w:rsid w:val="00AC7644"/>
    <w:rsid w:val="00AD03BA"/>
    <w:rsid w:val="00AD240D"/>
    <w:rsid w:val="00AD305E"/>
    <w:rsid w:val="00AD43B0"/>
    <w:rsid w:val="00AD46FD"/>
    <w:rsid w:val="00AD4FCE"/>
    <w:rsid w:val="00AD6F1C"/>
    <w:rsid w:val="00AE40A4"/>
    <w:rsid w:val="00AE500C"/>
    <w:rsid w:val="00AE5043"/>
    <w:rsid w:val="00AF238A"/>
    <w:rsid w:val="00AF3A42"/>
    <w:rsid w:val="00AF68B7"/>
    <w:rsid w:val="00AF7761"/>
    <w:rsid w:val="00B00498"/>
    <w:rsid w:val="00B0093E"/>
    <w:rsid w:val="00B046D3"/>
    <w:rsid w:val="00B10589"/>
    <w:rsid w:val="00B11AB7"/>
    <w:rsid w:val="00B123C4"/>
    <w:rsid w:val="00B149D9"/>
    <w:rsid w:val="00B16BCD"/>
    <w:rsid w:val="00B2313F"/>
    <w:rsid w:val="00B249BF"/>
    <w:rsid w:val="00B27106"/>
    <w:rsid w:val="00B30FE6"/>
    <w:rsid w:val="00B322D0"/>
    <w:rsid w:val="00B33792"/>
    <w:rsid w:val="00B348E4"/>
    <w:rsid w:val="00B357BF"/>
    <w:rsid w:val="00B402BE"/>
    <w:rsid w:val="00B40EF8"/>
    <w:rsid w:val="00B41BD4"/>
    <w:rsid w:val="00B41FD1"/>
    <w:rsid w:val="00B4287E"/>
    <w:rsid w:val="00B43E46"/>
    <w:rsid w:val="00B518A1"/>
    <w:rsid w:val="00B54EA0"/>
    <w:rsid w:val="00B55070"/>
    <w:rsid w:val="00B5576F"/>
    <w:rsid w:val="00B5752C"/>
    <w:rsid w:val="00B64999"/>
    <w:rsid w:val="00B6540C"/>
    <w:rsid w:val="00B66B6F"/>
    <w:rsid w:val="00B70E4A"/>
    <w:rsid w:val="00B7213F"/>
    <w:rsid w:val="00B723D5"/>
    <w:rsid w:val="00B74177"/>
    <w:rsid w:val="00B74B84"/>
    <w:rsid w:val="00B80AC2"/>
    <w:rsid w:val="00B825FD"/>
    <w:rsid w:val="00B83180"/>
    <w:rsid w:val="00B840E0"/>
    <w:rsid w:val="00B84989"/>
    <w:rsid w:val="00B86AEB"/>
    <w:rsid w:val="00B90405"/>
    <w:rsid w:val="00B917D1"/>
    <w:rsid w:val="00B91E35"/>
    <w:rsid w:val="00B920E1"/>
    <w:rsid w:val="00B92C7E"/>
    <w:rsid w:val="00B93655"/>
    <w:rsid w:val="00B93969"/>
    <w:rsid w:val="00B95B8E"/>
    <w:rsid w:val="00B97EB8"/>
    <w:rsid w:val="00B97F29"/>
    <w:rsid w:val="00BA0E4C"/>
    <w:rsid w:val="00BA13DD"/>
    <w:rsid w:val="00BA5689"/>
    <w:rsid w:val="00BA5D01"/>
    <w:rsid w:val="00BA6107"/>
    <w:rsid w:val="00BA7163"/>
    <w:rsid w:val="00BB289C"/>
    <w:rsid w:val="00BB43E0"/>
    <w:rsid w:val="00BC2FC3"/>
    <w:rsid w:val="00BC5FDE"/>
    <w:rsid w:val="00BD0106"/>
    <w:rsid w:val="00BD14D2"/>
    <w:rsid w:val="00BD7B2A"/>
    <w:rsid w:val="00BE0E92"/>
    <w:rsid w:val="00BE11AD"/>
    <w:rsid w:val="00BE3570"/>
    <w:rsid w:val="00BE50B4"/>
    <w:rsid w:val="00BE7444"/>
    <w:rsid w:val="00BE76EF"/>
    <w:rsid w:val="00BF0EEB"/>
    <w:rsid w:val="00BF1C03"/>
    <w:rsid w:val="00BF1FEF"/>
    <w:rsid w:val="00BF284C"/>
    <w:rsid w:val="00BF3C15"/>
    <w:rsid w:val="00C01E9B"/>
    <w:rsid w:val="00C026D2"/>
    <w:rsid w:val="00C03C29"/>
    <w:rsid w:val="00C03E86"/>
    <w:rsid w:val="00C04BA2"/>
    <w:rsid w:val="00C060A2"/>
    <w:rsid w:val="00C0661F"/>
    <w:rsid w:val="00C1274B"/>
    <w:rsid w:val="00C13A28"/>
    <w:rsid w:val="00C13F55"/>
    <w:rsid w:val="00C17451"/>
    <w:rsid w:val="00C2356B"/>
    <w:rsid w:val="00C23DE2"/>
    <w:rsid w:val="00C264D8"/>
    <w:rsid w:val="00C26668"/>
    <w:rsid w:val="00C30BA7"/>
    <w:rsid w:val="00C310B7"/>
    <w:rsid w:val="00C31444"/>
    <w:rsid w:val="00C31C0A"/>
    <w:rsid w:val="00C347FA"/>
    <w:rsid w:val="00C41C60"/>
    <w:rsid w:val="00C42EAD"/>
    <w:rsid w:val="00C44B9B"/>
    <w:rsid w:val="00C45845"/>
    <w:rsid w:val="00C53878"/>
    <w:rsid w:val="00C5566E"/>
    <w:rsid w:val="00C57846"/>
    <w:rsid w:val="00C61975"/>
    <w:rsid w:val="00C64636"/>
    <w:rsid w:val="00C64AC6"/>
    <w:rsid w:val="00C73483"/>
    <w:rsid w:val="00C80109"/>
    <w:rsid w:val="00C80A7D"/>
    <w:rsid w:val="00C82082"/>
    <w:rsid w:val="00C83ED7"/>
    <w:rsid w:val="00C84BFD"/>
    <w:rsid w:val="00C90383"/>
    <w:rsid w:val="00C905AC"/>
    <w:rsid w:val="00C91BFE"/>
    <w:rsid w:val="00C91DCB"/>
    <w:rsid w:val="00C92854"/>
    <w:rsid w:val="00C92D4E"/>
    <w:rsid w:val="00C951CB"/>
    <w:rsid w:val="00C97843"/>
    <w:rsid w:val="00CA0FE7"/>
    <w:rsid w:val="00CA1549"/>
    <w:rsid w:val="00CB08CB"/>
    <w:rsid w:val="00CB0F98"/>
    <w:rsid w:val="00CB1417"/>
    <w:rsid w:val="00CB5527"/>
    <w:rsid w:val="00CC02F4"/>
    <w:rsid w:val="00CD26B0"/>
    <w:rsid w:val="00CD4B2B"/>
    <w:rsid w:val="00CD58A4"/>
    <w:rsid w:val="00CE02FE"/>
    <w:rsid w:val="00CE2B6B"/>
    <w:rsid w:val="00CE5C37"/>
    <w:rsid w:val="00CE7045"/>
    <w:rsid w:val="00CF3111"/>
    <w:rsid w:val="00CF50F5"/>
    <w:rsid w:val="00CF6959"/>
    <w:rsid w:val="00D00EB9"/>
    <w:rsid w:val="00D03C1E"/>
    <w:rsid w:val="00D03D02"/>
    <w:rsid w:val="00D071E0"/>
    <w:rsid w:val="00D07CB7"/>
    <w:rsid w:val="00D12176"/>
    <w:rsid w:val="00D12C36"/>
    <w:rsid w:val="00D1432C"/>
    <w:rsid w:val="00D16A1A"/>
    <w:rsid w:val="00D24956"/>
    <w:rsid w:val="00D25BB6"/>
    <w:rsid w:val="00D2708C"/>
    <w:rsid w:val="00D30BE8"/>
    <w:rsid w:val="00D31F13"/>
    <w:rsid w:val="00D32035"/>
    <w:rsid w:val="00D32595"/>
    <w:rsid w:val="00D32B14"/>
    <w:rsid w:val="00D3656F"/>
    <w:rsid w:val="00D400B1"/>
    <w:rsid w:val="00D4040D"/>
    <w:rsid w:val="00D415AC"/>
    <w:rsid w:val="00D4175C"/>
    <w:rsid w:val="00D54A83"/>
    <w:rsid w:val="00D54CAA"/>
    <w:rsid w:val="00D55823"/>
    <w:rsid w:val="00D57BE8"/>
    <w:rsid w:val="00D622EC"/>
    <w:rsid w:val="00D625D4"/>
    <w:rsid w:val="00D6278C"/>
    <w:rsid w:val="00D66B41"/>
    <w:rsid w:val="00D66BD7"/>
    <w:rsid w:val="00D66D74"/>
    <w:rsid w:val="00D70395"/>
    <w:rsid w:val="00D80BEC"/>
    <w:rsid w:val="00D80F4E"/>
    <w:rsid w:val="00D82014"/>
    <w:rsid w:val="00D850EE"/>
    <w:rsid w:val="00D85CBB"/>
    <w:rsid w:val="00D85DB6"/>
    <w:rsid w:val="00D921C6"/>
    <w:rsid w:val="00D9267B"/>
    <w:rsid w:val="00D93CCD"/>
    <w:rsid w:val="00D93DAA"/>
    <w:rsid w:val="00D9572D"/>
    <w:rsid w:val="00D97542"/>
    <w:rsid w:val="00DA0318"/>
    <w:rsid w:val="00DA24F3"/>
    <w:rsid w:val="00DA2AD7"/>
    <w:rsid w:val="00DA73B0"/>
    <w:rsid w:val="00DB292D"/>
    <w:rsid w:val="00DB636E"/>
    <w:rsid w:val="00DC072F"/>
    <w:rsid w:val="00DC1313"/>
    <w:rsid w:val="00DC5446"/>
    <w:rsid w:val="00DC5983"/>
    <w:rsid w:val="00DC72BB"/>
    <w:rsid w:val="00DD054F"/>
    <w:rsid w:val="00DD396B"/>
    <w:rsid w:val="00DD7F63"/>
    <w:rsid w:val="00DE40C4"/>
    <w:rsid w:val="00DE62CF"/>
    <w:rsid w:val="00DE7214"/>
    <w:rsid w:val="00DF4A10"/>
    <w:rsid w:val="00DF77E8"/>
    <w:rsid w:val="00E00F33"/>
    <w:rsid w:val="00E02589"/>
    <w:rsid w:val="00E03321"/>
    <w:rsid w:val="00E0389E"/>
    <w:rsid w:val="00E041A9"/>
    <w:rsid w:val="00E10A8E"/>
    <w:rsid w:val="00E10C16"/>
    <w:rsid w:val="00E11392"/>
    <w:rsid w:val="00E13B38"/>
    <w:rsid w:val="00E141DB"/>
    <w:rsid w:val="00E146F6"/>
    <w:rsid w:val="00E157EE"/>
    <w:rsid w:val="00E15C5F"/>
    <w:rsid w:val="00E17FA5"/>
    <w:rsid w:val="00E22A30"/>
    <w:rsid w:val="00E2323E"/>
    <w:rsid w:val="00E246D3"/>
    <w:rsid w:val="00E2475C"/>
    <w:rsid w:val="00E24A94"/>
    <w:rsid w:val="00E333F6"/>
    <w:rsid w:val="00E34E60"/>
    <w:rsid w:val="00E35930"/>
    <w:rsid w:val="00E35DD2"/>
    <w:rsid w:val="00E3659F"/>
    <w:rsid w:val="00E43D42"/>
    <w:rsid w:val="00E44AD1"/>
    <w:rsid w:val="00E5064B"/>
    <w:rsid w:val="00E55254"/>
    <w:rsid w:val="00E55798"/>
    <w:rsid w:val="00E60904"/>
    <w:rsid w:val="00E61BA8"/>
    <w:rsid w:val="00E620C1"/>
    <w:rsid w:val="00E62B07"/>
    <w:rsid w:val="00E67283"/>
    <w:rsid w:val="00E67730"/>
    <w:rsid w:val="00E67977"/>
    <w:rsid w:val="00E77D33"/>
    <w:rsid w:val="00E8318E"/>
    <w:rsid w:val="00E83904"/>
    <w:rsid w:val="00E867B9"/>
    <w:rsid w:val="00E86DA0"/>
    <w:rsid w:val="00E870BA"/>
    <w:rsid w:val="00E87F0E"/>
    <w:rsid w:val="00E91AC2"/>
    <w:rsid w:val="00E93E12"/>
    <w:rsid w:val="00EA3138"/>
    <w:rsid w:val="00EA653F"/>
    <w:rsid w:val="00EA6706"/>
    <w:rsid w:val="00EA72CA"/>
    <w:rsid w:val="00EA77D9"/>
    <w:rsid w:val="00EA7E9A"/>
    <w:rsid w:val="00EB1594"/>
    <w:rsid w:val="00EB1673"/>
    <w:rsid w:val="00EB2A19"/>
    <w:rsid w:val="00EB5A80"/>
    <w:rsid w:val="00EB6BD9"/>
    <w:rsid w:val="00EC0190"/>
    <w:rsid w:val="00EC129D"/>
    <w:rsid w:val="00EC3A64"/>
    <w:rsid w:val="00EC6BED"/>
    <w:rsid w:val="00EC6E54"/>
    <w:rsid w:val="00ED3C5C"/>
    <w:rsid w:val="00ED6579"/>
    <w:rsid w:val="00ED7D24"/>
    <w:rsid w:val="00EE17CB"/>
    <w:rsid w:val="00EE3655"/>
    <w:rsid w:val="00EE39FB"/>
    <w:rsid w:val="00EE3A2C"/>
    <w:rsid w:val="00EE57C0"/>
    <w:rsid w:val="00EE5E18"/>
    <w:rsid w:val="00EE6733"/>
    <w:rsid w:val="00EF05C5"/>
    <w:rsid w:val="00EF135B"/>
    <w:rsid w:val="00EF3602"/>
    <w:rsid w:val="00EF71F7"/>
    <w:rsid w:val="00F07FE1"/>
    <w:rsid w:val="00F10E8B"/>
    <w:rsid w:val="00F11DB8"/>
    <w:rsid w:val="00F13435"/>
    <w:rsid w:val="00F15AB6"/>
    <w:rsid w:val="00F164D9"/>
    <w:rsid w:val="00F165A2"/>
    <w:rsid w:val="00F20278"/>
    <w:rsid w:val="00F21864"/>
    <w:rsid w:val="00F238F3"/>
    <w:rsid w:val="00F339EF"/>
    <w:rsid w:val="00F33E9B"/>
    <w:rsid w:val="00F33EEF"/>
    <w:rsid w:val="00F36F48"/>
    <w:rsid w:val="00F40BA5"/>
    <w:rsid w:val="00F40D4C"/>
    <w:rsid w:val="00F43D1F"/>
    <w:rsid w:val="00F4422C"/>
    <w:rsid w:val="00F444F7"/>
    <w:rsid w:val="00F56514"/>
    <w:rsid w:val="00F602CF"/>
    <w:rsid w:val="00F61D23"/>
    <w:rsid w:val="00F72093"/>
    <w:rsid w:val="00F721B0"/>
    <w:rsid w:val="00F75156"/>
    <w:rsid w:val="00F77811"/>
    <w:rsid w:val="00F829FC"/>
    <w:rsid w:val="00F833A0"/>
    <w:rsid w:val="00F85754"/>
    <w:rsid w:val="00F86071"/>
    <w:rsid w:val="00F9106C"/>
    <w:rsid w:val="00F9175E"/>
    <w:rsid w:val="00F9413A"/>
    <w:rsid w:val="00F949BE"/>
    <w:rsid w:val="00F9528E"/>
    <w:rsid w:val="00F958FF"/>
    <w:rsid w:val="00F9655C"/>
    <w:rsid w:val="00FA1389"/>
    <w:rsid w:val="00FA1418"/>
    <w:rsid w:val="00FA71C0"/>
    <w:rsid w:val="00FB19A5"/>
    <w:rsid w:val="00FB24D6"/>
    <w:rsid w:val="00FB3683"/>
    <w:rsid w:val="00FB3BCF"/>
    <w:rsid w:val="00FB5186"/>
    <w:rsid w:val="00FC5945"/>
    <w:rsid w:val="00FC5E96"/>
    <w:rsid w:val="00FC6E3C"/>
    <w:rsid w:val="00FC7FC6"/>
    <w:rsid w:val="00FD06A6"/>
    <w:rsid w:val="00FD10A8"/>
    <w:rsid w:val="00FD1BCD"/>
    <w:rsid w:val="00FD3339"/>
    <w:rsid w:val="00FD3C37"/>
    <w:rsid w:val="00FD4855"/>
    <w:rsid w:val="00FD516A"/>
    <w:rsid w:val="00FD5320"/>
    <w:rsid w:val="00FD592C"/>
    <w:rsid w:val="00FE33AE"/>
    <w:rsid w:val="00FF0AD6"/>
    <w:rsid w:val="00FF5868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BF5160"/>
  <w15:chartTrackingRefBased/>
  <w15:docId w15:val="{62C06959-6991-4131-A2A1-76DF6507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9F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clear" w:pos="360"/>
        <w:tab w:val="num" w:pos="720"/>
      </w:tabs>
      <w:ind w:left="630" w:hanging="630"/>
      <w:outlineLvl w:val="0"/>
    </w:pPr>
    <w:rPr>
      <w:rFonts w:ascii="Arial" w:hAnsi="Arial"/>
      <w:b/>
      <w:szCs w:val="20"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rial" w:hAnsi="Arial"/>
      <w:b/>
      <w:color w:val="008080"/>
      <w:sz w:val="18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i/>
      <w:iCs/>
      <w:sz w:val="28"/>
    </w:rPr>
  </w:style>
  <w:style w:type="paragraph" w:styleId="Heading6">
    <w:name w:val="heading 6"/>
    <w:basedOn w:val="Normal"/>
    <w:next w:val="Normal"/>
    <w:qFormat/>
    <w:pPr>
      <w:keepNext/>
      <w:numPr>
        <w:numId w:val="1"/>
      </w:numPr>
      <w:tabs>
        <w:tab w:val="clear" w:pos="360"/>
        <w:tab w:val="num" w:pos="720"/>
      </w:tabs>
      <w:ind w:left="720" w:hanging="720"/>
      <w:jc w:val="both"/>
      <w:outlineLvl w:val="5"/>
    </w:pPr>
    <w:rPr>
      <w:rFonts w:ascii="Arial" w:hAnsi="Arial"/>
      <w:b/>
      <w:szCs w:val="20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ind w:right="-58"/>
      <w:outlineLvl w:val="8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720" w:hanging="720"/>
    </w:pPr>
    <w:rPr>
      <w:rFonts w:ascii="Arial" w:hAnsi="Arial" w:cs="Arial"/>
      <w:sz w:val="28"/>
    </w:r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32"/>
      <w:szCs w:val="20"/>
    </w:rPr>
  </w:style>
  <w:style w:type="paragraph" w:styleId="BodyTextIndent">
    <w:name w:val="Body Text Indent"/>
    <w:basedOn w:val="Normal"/>
    <w:pPr>
      <w:ind w:left="720"/>
    </w:pPr>
    <w:rPr>
      <w:szCs w:val="20"/>
      <w:lang w:val="en-US"/>
    </w:rPr>
  </w:style>
  <w:style w:type="paragraph" w:styleId="BodyTextIndent3">
    <w:name w:val="Body Text Indent 3"/>
    <w:basedOn w:val="Normal"/>
    <w:pPr>
      <w:ind w:left="1440" w:hanging="720"/>
    </w:pPr>
    <w:rPr>
      <w:szCs w:val="20"/>
      <w:lang w:val="en-US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b/>
      <w:bCs/>
      <w:sz w:val="28"/>
    </w:rPr>
  </w:style>
  <w:style w:type="paragraph" w:styleId="BlockText">
    <w:name w:val="Block Text"/>
    <w:basedOn w:val="Normal"/>
    <w:pPr>
      <w:ind w:left="7200" w:right="-58" w:hanging="1440"/>
    </w:pPr>
    <w:rPr>
      <w:rFonts w:ascii="Arial" w:hAnsi="Arial" w:cs="Arial"/>
      <w:b/>
      <w:bCs/>
      <w:sz w:val="28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sz w:val="28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Default">
    <w:name w:val="Default"/>
    <w:rsid w:val="00FD51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FD516A"/>
    <w:rPr>
      <w:rFonts w:cs="Arial"/>
      <w:color w:val="000000"/>
    </w:rPr>
  </w:style>
  <w:style w:type="paragraph" w:styleId="NormalWeb">
    <w:name w:val="Normal (Web)"/>
    <w:basedOn w:val="Normal"/>
    <w:rsid w:val="00FD516A"/>
    <w:pPr>
      <w:spacing w:before="100" w:beforeAutospacing="1" w:after="100" w:afterAutospacing="1"/>
    </w:pPr>
    <w:rPr>
      <w:lang w:eastAsia="en-GB"/>
    </w:rPr>
  </w:style>
  <w:style w:type="paragraph" w:styleId="FootnoteText">
    <w:name w:val="footnote text"/>
    <w:basedOn w:val="Normal"/>
    <w:semiHidden/>
    <w:rsid w:val="007216AE"/>
    <w:rPr>
      <w:rFonts w:ascii="Arial" w:hAnsi="Arial" w:cs="Arial"/>
      <w:bCs/>
      <w:kern w:val="28"/>
      <w:sz w:val="20"/>
      <w:szCs w:val="20"/>
      <w:lang w:eastAsia="en-GB"/>
    </w:rPr>
  </w:style>
  <w:style w:type="character" w:styleId="FootnoteReference">
    <w:name w:val="footnote reference"/>
    <w:semiHidden/>
    <w:rsid w:val="007216AE"/>
    <w:rPr>
      <w:vertAlign w:val="superscript"/>
    </w:rPr>
  </w:style>
  <w:style w:type="character" w:customStyle="1" w:styleId="StyleFootnoteReferenceVerdana11pt">
    <w:name w:val="Style Footnote Reference + Verdana 11 pt"/>
    <w:rsid w:val="007216AE"/>
    <w:rPr>
      <w:rFonts w:ascii="Verdana" w:hAnsi="Verdana"/>
      <w:sz w:val="18"/>
      <w:vertAlign w:val="superscript"/>
    </w:rPr>
  </w:style>
  <w:style w:type="paragraph" w:styleId="BalloonText">
    <w:name w:val="Balloon Text"/>
    <w:basedOn w:val="Normal"/>
    <w:semiHidden/>
    <w:rsid w:val="0035217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semiHidden/>
    <w:locked/>
    <w:rsid w:val="001E7669"/>
    <w:rPr>
      <w:sz w:val="24"/>
      <w:szCs w:val="24"/>
      <w:lang w:val="en-GB" w:eastAsia="en-US" w:bidi="ar-SA"/>
    </w:rPr>
  </w:style>
  <w:style w:type="paragraph" w:customStyle="1" w:styleId="aPolicyText">
    <w:name w:val="aPolicy Text"/>
    <w:basedOn w:val="Normal"/>
    <w:rsid w:val="004079BA"/>
    <w:pPr>
      <w:numPr>
        <w:ilvl w:val="1"/>
        <w:numId w:val="3"/>
      </w:numPr>
      <w:tabs>
        <w:tab w:val="num" w:pos="720"/>
      </w:tabs>
      <w:spacing w:after="200"/>
      <w:ind w:left="720"/>
      <w:jc w:val="both"/>
    </w:pPr>
    <w:rPr>
      <w:rFonts w:ascii="Arial" w:hAnsi="Arial" w:cs="Arial"/>
      <w:sz w:val="28"/>
      <w:szCs w:val="28"/>
    </w:rPr>
  </w:style>
  <w:style w:type="paragraph" w:customStyle="1" w:styleId="aPolicyParaHeading">
    <w:name w:val="aPolicy Para Heading"/>
    <w:basedOn w:val="Normal"/>
    <w:next w:val="aPolicyText"/>
    <w:autoRedefine/>
    <w:rsid w:val="004079BA"/>
    <w:pPr>
      <w:numPr>
        <w:numId w:val="3"/>
      </w:numPr>
      <w:spacing w:before="200" w:after="200"/>
    </w:pPr>
    <w:rPr>
      <w:rFonts w:ascii="Arial" w:hAnsi="Arial" w:cs="Arial"/>
      <w:b/>
      <w:bCs/>
      <w:sz w:val="28"/>
      <w:szCs w:val="28"/>
      <w:u w:val="single"/>
    </w:rPr>
  </w:style>
  <w:style w:type="paragraph" w:customStyle="1" w:styleId="aParaIndentText">
    <w:name w:val="aPara Indent Text"/>
    <w:basedOn w:val="Normal"/>
    <w:rsid w:val="004079BA"/>
    <w:pPr>
      <w:numPr>
        <w:ilvl w:val="2"/>
        <w:numId w:val="3"/>
      </w:numPr>
      <w:tabs>
        <w:tab w:val="num" w:pos="1080"/>
      </w:tabs>
      <w:spacing w:before="120"/>
      <w:jc w:val="both"/>
    </w:pPr>
    <w:rPr>
      <w:rFonts w:ascii="Arial" w:hAnsi="Arial" w:cs="Arial"/>
      <w:sz w:val="28"/>
      <w:szCs w:val="28"/>
    </w:rPr>
  </w:style>
  <w:style w:type="table" w:styleId="TableGrid">
    <w:name w:val="Table Grid"/>
    <w:basedOn w:val="TableNormal"/>
    <w:uiPriority w:val="59"/>
    <w:rsid w:val="007B4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14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semiHidden/>
    <w:rsid w:val="0042630A"/>
    <w:rPr>
      <w:sz w:val="16"/>
      <w:szCs w:val="16"/>
    </w:rPr>
  </w:style>
  <w:style w:type="paragraph" w:styleId="CommentText">
    <w:name w:val="annotation text"/>
    <w:basedOn w:val="Normal"/>
    <w:semiHidden/>
    <w:rsid w:val="004263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2630A"/>
    <w:rPr>
      <w:b/>
      <w:bCs/>
    </w:rPr>
  </w:style>
  <w:style w:type="character" w:styleId="FollowedHyperlink">
    <w:name w:val="FollowedHyperlink"/>
    <w:rsid w:val="0018317B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534567"/>
    <w:rPr>
      <w:lang w:val="en-US" w:eastAsia="en-US"/>
    </w:rPr>
  </w:style>
  <w:style w:type="paragraph" w:styleId="Revision">
    <w:name w:val="Revision"/>
    <w:hidden/>
    <w:uiPriority w:val="99"/>
    <w:semiHidden/>
    <w:rsid w:val="00A7251D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6B4452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8E4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51207">
                  <w:marLeft w:val="480"/>
                  <w:marRight w:val="48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64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5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33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steoporosis.foundation/educational-hub/topic/calcium-calculato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nottsapc.nhs.uk/media/mmnbgqpv/vitamin-d-guidelines-adults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kbishton@nhs.net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FC65F-64A7-4DF4-9278-DCFC82B4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Clinical Guidelines Policy</vt:lpstr>
    </vt:vector>
  </TitlesOfParts>
  <Company>Queens Medical Centre</Company>
  <LinksUpToDate>false</LinksUpToDate>
  <CharactersWithSpaces>11216</CharactersWithSpaces>
  <SharedDoc>false</SharedDoc>
  <HLinks>
    <vt:vector size="18" baseType="variant">
      <vt:variant>
        <vt:i4>917532</vt:i4>
      </vt:variant>
      <vt:variant>
        <vt:i4>9</vt:i4>
      </vt:variant>
      <vt:variant>
        <vt:i4>0</vt:i4>
      </vt:variant>
      <vt:variant>
        <vt:i4>5</vt:i4>
      </vt:variant>
      <vt:variant>
        <vt:lpwstr>https://www.osteoporosis.foundation/educational-hub/topic/calcium-calculator</vt:lpwstr>
      </vt:variant>
      <vt:variant>
        <vt:lpwstr/>
      </vt:variant>
      <vt:variant>
        <vt:i4>8323106</vt:i4>
      </vt:variant>
      <vt:variant>
        <vt:i4>6</vt:i4>
      </vt:variant>
      <vt:variant>
        <vt:i4>0</vt:i4>
      </vt:variant>
      <vt:variant>
        <vt:i4>5</vt:i4>
      </vt:variant>
      <vt:variant>
        <vt:lpwstr>https://www.nottsapc.nhs.uk/media/mmnbgqpv/vitamin-d-guidelines-adults.pdf</vt:lpwstr>
      </vt:variant>
      <vt:variant>
        <vt:lpwstr/>
      </vt:variant>
      <vt:variant>
        <vt:i4>7405645</vt:i4>
      </vt:variant>
      <vt:variant>
        <vt:i4>3</vt:i4>
      </vt:variant>
      <vt:variant>
        <vt:i4>0</vt:i4>
      </vt:variant>
      <vt:variant>
        <vt:i4>5</vt:i4>
      </vt:variant>
      <vt:variant>
        <vt:lpwstr>mailto:markbishton@nhs.net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Guidelines Policy</dc:title>
  <dc:subject/>
  <dc:creator>Kirkwood</dc:creator>
  <cp:keywords/>
  <cp:lastModifiedBy>BUCKLEY, Sylvia (NHS NOTTINGHAM AND NOTTINGHAMSHIRE ICB - 52R)</cp:lastModifiedBy>
  <cp:revision>2</cp:revision>
  <cp:lastPrinted>2025-09-24T12:01:00Z</cp:lastPrinted>
  <dcterms:created xsi:type="dcterms:W3CDTF">2025-12-05T12:04:00Z</dcterms:created>
  <dcterms:modified xsi:type="dcterms:W3CDTF">2025-12-05T12:04:00Z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/Lead Manager0">
    <vt:lpwstr>Dr Nick Woodier Patient Safety Improvement Lead, Dr Adrian Jones Consultant in Rheumatology and Chair of the Clinical Guidelines Group.</vt:lpwstr>
  </property>
  <property fmtid="{D5CDD505-2E9C-101B-9397-08002B2CF9AE}" pid="3" name="Further Guidance/Information0">
    <vt:lpwstr>&lt;div&gt;&lt;a href="mailto:clinicalguidelines@nuh.nhs.uk"&gt;clinicalguidelines@nuh.nhs.uk &lt;/a&gt;&lt;/div&gt;_x000d_
&lt;div&gt;&lt;/div&gt;</vt:lpwstr>
  </property>
  <property fmtid="{D5CDD505-2E9C-101B-9397-08002B2CF9AE}" pid="4" name="Review Date0">
    <vt:lpwstr>2020-01-01T00:00:00Z</vt:lpwstr>
  </property>
  <property fmtid="{D5CDD505-2E9C-101B-9397-08002B2CF9AE}" pid="5" name="Date of completion of Equality Impact Assessment">
    <vt:lpwstr>2016-05-01T00:00:00Z</vt:lpwstr>
  </property>
  <property fmtid="{D5CDD505-2E9C-101B-9397-08002B2CF9AE}" pid="6" name="Consultation Undertaken0">
    <vt:lpwstr>See document</vt:lpwstr>
  </property>
  <property fmtid="{D5CDD505-2E9C-101B-9397-08002B2CF9AE}" pid="7" name="Date Approved0">
    <vt:lpwstr>2017-01-05T00:00:00Z</vt:lpwstr>
  </property>
  <property fmtid="{D5CDD505-2E9C-101B-9397-08002B2CF9AE}" pid="8" name="Implementation Date0">
    <vt:lpwstr>2017-01-05T00:00:00Z</vt:lpwstr>
  </property>
  <property fmtid="{D5CDD505-2E9C-101B-9397-08002B2CF9AE}" pid="9" name="ContentType">
    <vt:lpwstr>NUH Policy Store</vt:lpwstr>
  </property>
  <property fmtid="{D5CDD505-2E9C-101B-9397-08002B2CF9AE}" pid="10" name="Lead Executive0">
    <vt:lpwstr>Medical Director</vt:lpwstr>
  </property>
  <property fmtid="{D5CDD505-2E9C-101B-9397-08002B2CF9AE}" pid="11" name="Policy/Procedure Type0">
    <vt:lpwstr>Clinical Governance &amp; Practice</vt:lpwstr>
  </property>
  <property fmtid="{D5CDD505-2E9C-101B-9397-08002B2CF9AE}" pid="12" name="Supercedes0">
    <vt:lpwstr>&lt;div&gt;Version 5 (January 2016)&lt;/div&gt;</vt:lpwstr>
  </property>
  <property fmtid="{D5CDD505-2E9C-101B-9397-08002B2CF9AE}" pid="13" name="Supporting Procedures0">
    <vt:lpwstr>-</vt:lpwstr>
  </property>
  <property fmtid="{D5CDD505-2E9C-101B-9397-08002B2CF9AE}" pid="14" name="Approving Body0">
    <vt:lpwstr>Medical Director</vt:lpwstr>
  </property>
  <property fmtid="{D5CDD505-2E9C-101B-9397-08002B2CF9AE}" pid="15" name="Policy/Procedure Group0">
    <vt:lpwstr>Clinical</vt:lpwstr>
  </property>
  <property fmtid="{D5CDD505-2E9C-101B-9397-08002B2CF9AE}" pid="16" name="Reference0">
    <vt:lpwstr>CLCGP013</vt:lpwstr>
  </property>
  <property fmtid="{D5CDD505-2E9C-101B-9397-08002B2CF9AE}" pid="17" name="Target Audience0">
    <vt:lpwstr>All Clinical Teams, Trust-Wide</vt:lpwstr>
  </property>
  <property fmtid="{D5CDD505-2E9C-101B-9397-08002B2CF9AE}" pid="18" name="Subject">
    <vt:lpwstr/>
  </property>
  <property fmtid="{D5CDD505-2E9C-101B-9397-08002B2CF9AE}" pid="19" name="Keywords">
    <vt:lpwstr/>
  </property>
  <property fmtid="{D5CDD505-2E9C-101B-9397-08002B2CF9AE}" pid="20" name="_Author">
    <vt:lpwstr>Kirkwood</vt:lpwstr>
  </property>
  <property fmtid="{D5CDD505-2E9C-101B-9397-08002B2CF9AE}" pid="21" name="_Category">
    <vt:lpwstr/>
  </property>
  <property fmtid="{D5CDD505-2E9C-101B-9397-08002B2CF9AE}" pid="22" name="Categories">
    <vt:lpwstr/>
  </property>
  <property fmtid="{D5CDD505-2E9C-101B-9397-08002B2CF9AE}" pid="23" name="Approval Level">
    <vt:lpwstr/>
  </property>
  <property fmtid="{D5CDD505-2E9C-101B-9397-08002B2CF9AE}" pid="24" name="_Comments">
    <vt:lpwstr/>
  </property>
  <property fmtid="{D5CDD505-2E9C-101B-9397-08002B2CF9AE}" pid="25" name="Assigned To">
    <vt:lpwstr/>
  </property>
</Properties>
</file>